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114" w:rsidRDefault="00DF2893" w:rsidP="00A20114">
      <w:pPr>
        <w:pStyle w:val="Nadpisneslovan"/>
        <w:jc w:val="center"/>
        <w:rPr>
          <w:caps w:val="0"/>
          <w:sz w:val="36"/>
        </w:rPr>
      </w:pPr>
      <w:r>
        <w:rPr>
          <w:caps w:val="0"/>
        </w:rPr>
        <w:t>SO 0</w:t>
      </w:r>
      <w:r w:rsidR="00BB58C2">
        <w:rPr>
          <w:caps w:val="0"/>
        </w:rPr>
        <w:t>1</w:t>
      </w:r>
      <w:r w:rsidR="00DD277A">
        <w:rPr>
          <w:caps w:val="0"/>
        </w:rPr>
        <w:t>:</w:t>
      </w:r>
      <w:r w:rsidR="00C20509">
        <w:rPr>
          <w:caps w:val="0"/>
        </w:rPr>
        <w:t xml:space="preserve"> </w:t>
      </w:r>
      <w:r w:rsidR="00BB58C2">
        <w:rPr>
          <w:caps w:val="0"/>
        </w:rPr>
        <w:t xml:space="preserve">Sanace </w:t>
      </w:r>
      <w:proofErr w:type="spellStart"/>
      <w:r w:rsidR="00BB58C2">
        <w:rPr>
          <w:caps w:val="0"/>
        </w:rPr>
        <w:t>mezipilíře</w:t>
      </w:r>
      <w:proofErr w:type="spellEnd"/>
    </w:p>
    <w:p w:rsidR="00DA146C" w:rsidRPr="00622F2D" w:rsidRDefault="00DA146C" w:rsidP="00B54A91">
      <w:pPr>
        <w:pStyle w:val="Nadpisneslovan"/>
      </w:pPr>
    </w:p>
    <w:p w:rsidR="00DA146C" w:rsidRPr="00622F2D" w:rsidRDefault="00DA146C" w:rsidP="00B54A91">
      <w:pPr>
        <w:pStyle w:val="Nadpisneslovan"/>
      </w:pPr>
    </w:p>
    <w:p w:rsidR="00DA146C" w:rsidRPr="00622F2D" w:rsidRDefault="00DA146C" w:rsidP="00B54A91">
      <w:pPr>
        <w:pStyle w:val="Nadpisneslovan"/>
      </w:pPr>
      <w:proofErr w:type="gramStart"/>
      <w:r w:rsidRPr="00622F2D">
        <w:t>O</w:t>
      </w:r>
      <w:bookmarkStart w:id="0" w:name="_Ref179957293"/>
      <w:bookmarkEnd w:id="0"/>
      <w:r w:rsidRPr="00622F2D">
        <w:t>bsah :</w:t>
      </w:r>
      <w:proofErr w:type="gramEnd"/>
    </w:p>
    <w:p w:rsidR="00DA146C" w:rsidRPr="008D2EA4" w:rsidRDefault="00DA146C" w:rsidP="00B54A91">
      <w:pPr>
        <w:pStyle w:val="Nadpisneslovan"/>
        <w:rPr>
          <w:sz w:val="22"/>
          <w:highlight w:val="yellow"/>
        </w:rPr>
      </w:pPr>
    </w:p>
    <w:p w:rsidR="00E60A09" w:rsidRDefault="00C67BF5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b/>
          <w:highlight w:val="yellow"/>
        </w:rPr>
        <w:fldChar w:fldCharType="begin"/>
      </w:r>
      <w:r>
        <w:rPr>
          <w:b/>
          <w:highlight w:val="yellow"/>
        </w:rPr>
        <w:instrText xml:space="preserve"> TOC \o "1-4" </w:instrText>
      </w:r>
      <w:r>
        <w:rPr>
          <w:b/>
          <w:highlight w:val="yellow"/>
        </w:rPr>
        <w:fldChar w:fldCharType="separate"/>
      </w:r>
      <w:r w:rsidR="00E60A09">
        <w:rPr>
          <w:noProof/>
        </w:rPr>
        <w:t>D.</w:t>
      </w:r>
      <w:r w:rsidR="00E60A09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E60A09">
        <w:rPr>
          <w:noProof/>
        </w:rPr>
        <w:t>DOKUMENTACE objektů a technických a technologických zařízení</w:t>
      </w:r>
      <w:r w:rsidR="00E60A09">
        <w:rPr>
          <w:noProof/>
        </w:rPr>
        <w:tab/>
      </w:r>
      <w:r w:rsidR="00E60A09">
        <w:rPr>
          <w:noProof/>
        </w:rPr>
        <w:fldChar w:fldCharType="begin"/>
      </w:r>
      <w:r w:rsidR="00E60A09">
        <w:rPr>
          <w:noProof/>
        </w:rPr>
        <w:instrText xml:space="preserve"> PAGEREF _Toc10212838 \h </w:instrText>
      </w:r>
      <w:r w:rsidR="00E60A09">
        <w:rPr>
          <w:noProof/>
        </w:rPr>
      </w:r>
      <w:r w:rsidR="00E60A09">
        <w:rPr>
          <w:noProof/>
        </w:rPr>
        <w:fldChar w:fldCharType="separate"/>
      </w:r>
      <w:r w:rsidR="00E60A09">
        <w:rPr>
          <w:noProof/>
        </w:rPr>
        <w:t>3</w:t>
      </w:r>
      <w:r w:rsidR="00E60A09">
        <w:rPr>
          <w:noProof/>
        </w:rPr>
        <w:fldChar w:fldCharType="end"/>
      </w:r>
    </w:p>
    <w:p w:rsidR="00E60A09" w:rsidRDefault="00E60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D.1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Dokumentace inženýrského objektu SO 01: Sanace mezipilíře</w:t>
      </w:r>
      <w:r>
        <w:tab/>
      </w:r>
      <w:r>
        <w:fldChar w:fldCharType="begin"/>
      </w:r>
      <w:r>
        <w:instrText xml:space="preserve"> PAGEREF _Toc10212839 \h </w:instrText>
      </w:r>
      <w:r>
        <w:fldChar w:fldCharType="separate"/>
      </w:r>
      <w:r>
        <w:t>3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Architektonicko-stavební řešení</w:t>
      </w:r>
      <w:r>
        <w:tab/>
      </w:r>
      <w:r>
        <w:fldChar w:fldCharType="begin"/>
      </w:r>
      <w:r>
        <w:instrText xml:space="preserve"> PAGEREF _Toc10212840 \h </w:instrText>
      </w:r>
      <w:r>
        <w:fldChar w:fldCharType="separate"/>
      </w:r>
      <w:r>
        <w:t>3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Stavebně konstrukční řešení</w:t>
      </w:r>
      <w:r>
        <w:tab/>
      </w:r>
      <w:r>
        <w:fldChar w:fldCharType="begin"/>
      </w:r>
      <w:r>
        <w:instrText xml:space="preserve"> PAGEREF _Toc10212841 \h </w:instrText>
      </w:r>
      <w:r>
        <w:fldChar w:fldCharType="separate"/>
      </w:r>
      <w:r>
        <w:t>3</w:t>
      </w:r>
      <w: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Popis objektu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Vytyčení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Výkresová část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Podrobný statický výpočet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Výpočty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D.1.2.6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Výkaz výměr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D.1.2.7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Vodohospodářské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Požárně bezpečnostní řešení</w:t>
      </w:r>
      <w:r>
        <w:tab/>
      </w:r>
      <w:r>
        <w:fldChar w:fldCharType="begin"/>
      </w:r>
      <w:r>
        <w:instrText xml:space="preserve"> PAGEREF _Toc10212849 \h </w:instrText>
      </w:r>
      <w:r>
        <w:fldChar w:fldCharType="separate"/>
      </w:r>
      <w:r>
        <w:t>6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D.1.4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Technika prostředí staveb</w:t>
      </w:r>
      <w:r>
        <w:tab/>
      </w:r>
      <w:r>
        <w:fldChar w:fldCharType="begin"/>
      </w:r>
      <w:r>
        <w:instrText xml:space="preserve"> PAGEREF _Toc10212850 \h </w:instrText>
      </w:r>
      <w:r>
        <w:fldChar w:fldCharType="separate"/>
      </w:r>
      <w:r>
        <w:t>6</w:t>
      </w:r>
      <w:r>
        <w:fldChar w:fldCharType="end"/>
      </w:r>
    </w:p>
    <w:p w:rsidR="00E60A09" w:rsidRDefault="00E60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D.2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Dokumentace technických a technologických zařízení</w:t>
      </w:r>
      <w:r>
        <w:tab/>
      </w:r>
      <w:r>
        <w:fldChar w:fldCharType="begin"/>
      </w:r>
      <w:r>
        <w:instrText xml:space="preserve"> PAGEREF _Toc10212851 \h </w:instrText>
      </w:r>
      <w:r>
        <w:fldChar w:fldCharType="separate"/>
      </w:r>
      <w:r>
        <w:t>6</w:t>
      </w:r>
      <w:r>
        <w:fldChar w:fldCharType="end"/>
      </w:r>
    </w:p>
    <w:p w:rsidR="00E60A09" w:rsidRDefault="00E60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D.3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Požadavky na materiály, konstrukce a zařízení</w:t>
      </w:r>
      <w:r>
        <w:tab/>
      </w:r>
      <w:r>
        <w:fldChar w:fldCharType="begin"/>
      </w:r>
      <w:r>
        <w:instrText xml:space="preserve"> PAGEREF _Toc10212852 \h </w:instrText>
      </w:r>
      <w:r>
        <w:fldChar w:fldCharType="separate"/>
      </w:r>
      <w:r>
        <w:t>6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Injekční clona</w:t>
      </w:r>
      <w:r>
        <w:tab/>
      </w:r>
      <w:r>
        <w:fldChar w:fldCharType="begin"/>
      </w:r>
      <w:r>
        <w:instrText xml:space="preserve"> PAGEREF _Toc10212853 \h </w:instrText>
      </w:r>
      <w:r>
        <w:fldChar w:fldCharType="separate"/>
      </w:r>
      <w:r>
        <w:t>6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Požadavky na provádění injekční clony</w:t>
      </w:r>
      <w:r>
        <w:tab/>
      </w:r>
      <w:r>
        <w:fldChar w:fldCharType="begin"/>
      </w:r>
      <w:r>
        <w:instrText xml:space="preserve"> PAGEREF _Toc10212854 \h </w:instrText>
      </w:r>
      <w:r>
        <w:fldChar w:fldCharType="separate"/>
      </w:r>
      <w:r>
        <w:t>6</w:t>
      </w:r>
      <w: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D.3.2.1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Hloubení vrtů pro injektáž – I. fáze injektáž. (zálivka, nízkotl. injektáž)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D.3.2.2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Výroba injekčních trubek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D.3.2.3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Osazení injekčních trubek do vyhloubených vrtů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D.3.2.4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Horn. sanační injektáž – II. fáze injektáže (clona, vysokotl. injektáž)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D.3.2.5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Konečná úprava vrtů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D.3.2.6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Jílocementová směs pro vrtný výplach a následnou injektáž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D.3.2.7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Dovolené odchylky jednotlivých parametrů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E60A09" w:rsidRDefault="00E60A09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D.3.2.8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Kontroly a zkoušky při realizaci výplňové injektáže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_Toc10212862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Betonové konstrukce</w:t>
      </w:r>
      <w:r>
        <w:tab/>
      </w:r>
      <w:r>
        <w:fldChar w:fldCharType="begin"/>
      </w:r>
      <w:r>
        <w:instrText xml:space="preserve"> PAGEREF _Toc10212863 \h </w:instrText>
      </w:r>
      <w:r>
        <w:fldChar w:fldCharType="separate"/>
      </w:r>
      <w:r>
        <w:t>9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3766A3">
        <w:rPr>
          <w:color w:val="000000" w:themeColor="text1"/>
        </w:rPr>
        <w:t>D.3.4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766A3">
        <w:rPr>
          <w:color w:val="000000" w:themeColor="text1"/>
        </w:rPr>
        <w:t>Dobetonávka zhlaví pilíře</w:t>
      </w:r>
      <w:r>
        <w:tab/>
      </w:r>
      <w:r>
        <w:fldChar w:fldCharType="begin"/>
      </w:r>
      <w:r>
        <w:instrText xml:space="preserve"> PAGEREF _Toc10212864 \h </w:instrText>
      </w:r>
      <w:r>
        <w:fldChar w:fldCharType="separate"/>
      </w:r>
      <w:r>
        <w:t>11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3766A3">
        <w:rPr>
          <w:color w:val="000000" w:themeColor="text1"/>
        </w:rPr>
        <w:t>D.3.5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766A3">
        <w:rPr>
          <w:color w:val="000000" w:themeColor="text1"/>
        </w:rPr>
        <w:t>Odvodňovací vrty</w:t>
      </w:r>
      <w:r>
        <w:tab/>
      </w:r>
      <w:r>
        <w:fldChar w:fldCharType="begin"/>
      </w:r>
      <w:r>
        <w:instrText xml:space="preserve"> PAGEREF _Toc10212865 \h </w:instrText>
      </w:r>
      <w:r>
        <w:fldChar w:fldCharType="separate"/>
      </w:r>
      <w:r>
        <w:t>11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3766A3">
        <w:rPr>
          <w:color w:val="000000" w:themeColor="text1"/>
        </w:rPr>
        <w:t>Požadavky na provádění odvodňovacích vrtů</w:t>
      </w:r>
      <w:r>
        <w:tab/>
      </w:r>
      <w:r>
        <w:fldChar w:fldCharType="begin"/>
      </w:r>
      <w:r>
        <w:instrText xml:space="preserve"> PAGEREF _Toc10212866 \h </w:instrText>
      </w:r>
      <w:r>
        <w:fldChar w:fldCharType="separate"/>
      </w:r>
      <w:r>
        <w:t>11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3766A3">
        <w:rPr>
          <w:color w:val="000000" w:themeColor="text1"/>
        </w:rPr>
        <w:t>D.3.6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3766A3">
        <w:rPr>
          <w:color w:val="000000" w:themeColor="text1"/>
        </w:rPr>
        <w:t>Spárování mezipilíře a levého pilíře</w:t>
      </w:r>
      <w:r>
        <w:tab/>
      </w:r>
      <w:r>
        <w:fldChar w:fldCharType="begin"/>
      </w:r>
      <w:r>
        <w:instrText xml:space="preserve"> PAGEREF _Toc10212867 \h </w:instrText>
      </w:r>
      <w:r>
        <w:fldChar w:fldCharType="separate"/>
      </w:r>
      <w:r>
        <w:t>12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3766A3">
        <w:rPr>
          <w:color w:val="000000" w:themeColor="text1"/>
        </w:rPr>
        <w:t>Požadavky na provádění spárování</w:t>
      </w:r>
      <w:r>
        <w:tab/>
      </w:r>
      <w:r>
        <w:fldChar w:fldCharType="begin"/>
      </w:r>
      <w:r>
        <w:instrText xml:space="preserve"> PAGEREF _Toc10212868 \h </w:instrText>
      </w:r>
      <w:r>
        <w:fldChar w:fldCharType="separate"/>
      </w:r>
      <w:r>
        <w:t>12</w:t>
      </w:r>
      <w:r>
        <w:fldChar w:fldCharType="end"/>
      </w:r>
    </w:p>
    <w:p w:rsidR="00E60A09" w:rsidRDefault="00E60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lastRenderedPageBreak/>
        <w:t>D.4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Požadavky realizační výrobní dokumentaci</w:t>
      </w:r>
      <w:r>
        <w:tab/>
      </w:r>
      <w:r>
        <w:fldChar w:fldCharType="begin"/>
      </w:r>
      <w:r>
        <w:instrText xml:space="preserve"> PAGEREF _Toc10212869 \h </w:instrText>
      </w:r>
      <w:r>
        <w:fldChar w:fldCharType="separate"/>
      </w:r>
      <w:r>
        <w:t>13</w:t>
      </w:r>
      <w:r>
        <w:fldChar w:fldCharType="end"/>
      </w:r>
    </w:p>
    <w:p w:rsidR="00E60A09" w:rsidRDefault="00E60A0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D.5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Přehled platných norem a předpisů</w:t>
      </w:r>
      <w:r>
        <w:tab/>
      </w:r>
      <w:r>
        <w:fldChar w:fldCharType="begin"/>
      </w:r>
      <w:r>
        <w:instrText xml:space="preserve"> PAGEREF _Toc10212870 \h </w:instrText>
      </w:r>
      <w:r>
        <w:fldChar w:fldCharType="separate"/>
      </w:r>
      <w:r>
        <w:t>14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D.5.1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Související normy</w:t>
      </w:r>
      <w:r>
        <w:tab/>
      </w:r>
      <w:r>
        <w:fldChar w:fldCharType="begin"/>
      </w:r>
      <w:r>
        <w:instrText xml:space="preserve"> PAGEREF _Toc10212871 \h </w:instrText>
      </w:r>
      <w:r>
        <w:fldChar w:fldCharType="separate"/>
      </w:r>
      <w:r>
        <w:t>14</w:t>
      </w:r>
      <w:r>
        <w:fldChar w:fldCharType="end"/>
      </w:r>
    </w:p>
    <w:p w:rsidR="00E60A09" w:rsidRDefault="00E60A0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D.5.2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Právní předpisy</w:t>
      </w:r>
      <w:r>
        <w:tab/>
      </w:r>
      <w:r>
        <w:fldChar w:fldCharType="begin"/>
      </w:r>
      <w:r>
        <w:instrText xml:space="preserve"> PAGEREF _Toc10212872 \h </w:instrText>
      </w:r>
      <w:r>
        <w:fldChar w:fldCharType="separate"/>
      </w:r>
      <w:r>
        <w:t>15</w:t>
      </w:r>
      <w:r>
        <w:fldChar w:fldCharType="end"/>
      </w:r>
    </w:p>
    <w:p w:rsidR="00DA146C" w:rsidRPr="008D2EA4" w:rsidRDefault="00C67BF5" w:rsidP="00B54A91">
      <w:pPr>
        <w:pStyle w:val="Textpoznpodarou"/>
        <w:rPr>
          <w:highlight w:val="yellow"/>
        </w:rPr>
      </w:pPr>
      <w:r>
        <w:rPr>
          <w:b/>
          <w:highlight w:val="yellow"/>
        </w:rPr>
        <w:fldChar w:fldCharType="end"/>
      </w:r>
    </w:p>
    <w:p w:rsidR="00DA146C" w:rsidRPr="008D2EA4" w:rsidRDefault="00DA146C" w:rsidP="00B54A91">
      <w:pPr>
        <w:pStyle w:val="Textpoznpodarou"/>
        <w:rPr>
          <w:highlight w:val="yellow"/>
        </w:rPr>
      </w:pPr>
    </w:p>
    <w:p w:rsidR="00CC7B48" w:rsidRDefault="00CC7B48">
      <w:pPr>
        <w:spacing w:after="0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DA146C" w:rsidRPr="00A20114" w:rsidRDefault="00DA146C" w:rsidP="00C67BF5">
      <w:pPr>
        <w:pStyle w:val="Nadpis1"/>
        <w:tabs>
          <w:tab w:val="clear" w:pos="360"/>
          <w:tab w:val="num" w:pos="709"/>
        </w:tabs>
        <w:ind w:left="709" w:hanging="709"/>
      </w:pPr>
      <w:bookmarkStart w:id="1" w:name="_Toc297136949"/>
      <w:bookmarkStart w:id="2" w:name="_Toc297190473"/>
      <w:bookmarkStart w:id="3" w:name="_Toc304840580"/>
      <w:bookmarkStart w:id="4" w:name="_Toc297136950"/>
      <w:bookmarkStart w:id="5" w:name="_Toc297190474"/>
      <w:bookmarkStart w:id="6" w:name="_Toc304840581"/>
      <w:bookmarkStart w:id="7" w:name="_Toc163971228"/>
      <w:bookmarkStart w:id="8" w:name="_Toc10212838"/>
      <w:bookmarkEnd w:id="1"/>
      <w:bookmarkEnd w:id="2"/>
      <w:bookmarkEnd w:id="3"/>
      <w:bookmarkEnd w:id="4"/>
      <w:bookmarkEnd w:id="5"/>
      <w:bookmarkEnd w:id="6"/>
      <w:r w:rsidRPr="00A20114">
        <w:lastRenderedPageBreak/>
        <w:t xml:space="preserve">DOKUMENTACE </w:t>
      </w:r>
      <w:bookmarkEnd w:id="7"/>
      <w:r w:rsidR="004B7B0D" w:rsidRPr="00A20114">
        <w:t>objektů a technických a technologických zařízení</w:t>
      </w:r>
      <w:bookmarkEnd w:id="8"/>
    </w:p>
    <w:p w:rsidR="00DA146C" w:rsidRPr="00A20114" w:rsidRDefault="004B7B0D" w:rsidP="00B54A91">
      <w:pPr>
        <w:pStyle w:val="Nadpis2"/>
      </w:pPr>
      <w:bookmarkStart w:id="9" w:name="_Toc10212839"/>
      <w:r w:rsidRPr="00A20114">
        <w:t>Dokumentace inženýrského objektu</w:t>
      </w:r>
      <w:r w:rsidR="00066F91">
        <w:t xml:space="preserve"> SO 0</w:t>
      </w:r>
      <w:r w:rsidR="00BB58C2">
        <w:t>1</w:t>
      </w:r>
      <w:r w:rsidR="00DD277A">
        <w:t>:</w:t>
      </w:r>
      <w:r w:rsidR="00C20509">
        <w:t xml:space="preserve"> </w:t>
      </w:r>
      <w:r w:rsidR="00BB58C2">
        <w:t xml:space="preserve">Sanace </w:t>
      </w:r>
      <w:proofErr w:type="spellStart"/>
      <w:r w:rsidR="00BB58C2">
        <w:t>mezipilíře</w:t>
      </w:r>
      <w:bookmarkEnd w:id="9"/>
      <w:proofErr w:type="spellEnd"/>
      <w:r w:rsidR="00066F91">
        <w:t xml:space="preserve"> </w:t>
      </w:r>
    </w:p>
    <w:p w:rsidR="00DA146C" w:rsidRPr="00A20114" w:rsidRDefault="004B7B0D" w:rsidP="006A5B26">
      <w:pPr>
        <w:pStyle w:val="Nadpis3"/>
      </w:pPr>
      <w:bookmarkStart w:id="10" w:name="_Toc10212840"/>
      <w:r w:rsidRPr="00A20114">
        <w:t>Architektonicko-stavební řešení</w:t>
      </w:r>
      <w:bookmarkStart w:id="11" w:name="_GoBack"/>
      <w:bookmarkEnd w:id="10"/>
      <w:bookmarkEnd w:id="11"/>
    </w:p>
    <w:p w:rsidR="00066F91" w:rsidRPr="00B86959" w:rsidRDefault="00DD277A" w:rsidP="00DB4135">
      <w:r>
        <w:t>Stavební objekt</w:t>
      </w:r>
      <w:r w:rsidR="00B86959" w:rsidRPr="00B86959">
        <w:t xml:space="preserve"> </w:t>
      </w:r>
      <w:r w:rsidR="00E80C69">
        <w:t>nenarušuje</w:t>
      </w:r>
      <w:r w:rsidR="00B86959">
        <w:t xml:space="preserve"> původní architektonické řešení stavby. </w:t>
      </w:r>
    </w:p>
    <w:p w:rsidR="006A5B26" w:rsidRDefault="004B7B0D" w:rsidP="00DB4135">
      <w:pPr>
        <w:pStyle w:val="Nadpis3"/>
      </w:pPr>
      <w:bookmarkStart w:id="12" w:name="_Toc10212841"/>
      <w:r w:rsidRPr="00B86959">
        <w:t>Stavebně konstrukční řešení</w:t>
      </w:r>
      <w:bookmarkStart w:id="13" w:name="_Ref179957115"/>
      <w:bookmarkEnd w:id="12"/>
    </w:p>
    <w:p w:rsidR="00DD277A" w:rsidRPr="00B86959" w:rsidRDefault="00DD277A" w:rsidP="0094206F">
      <w:pPr>
        <w:pStyle w:val="Nadpis4"/>
        <w:tabs>
          <w:tab w:val="clear" w:pos="360"/>
          <w:tab w:val="num" w:pos="1134"/>
        </w:tabs>
        <w:ind w:left="567" w:hanging="567"/>
      </w:pPr>
      <w:r>
        <w:t xml:space="preserve"> </w:t>
      </w:r>
      <w:bookmarkStart w:id="14" w:name="_Toc10212842"/>
      <w:r>
        <w:t>Popis objektu</w:t>
      </w:r>
      <w:bookmarkEnd w:id="14"/>
    </w:p>
    <w:p w:rsidR="00A15C4C" w:rsidRDefault="00A15C4C" w:rsidP="00F942E5">
      <w:pPr>
        <w:rPr>
          <w:szCs w:val="24"/>
        </w:rPr>
      </w:pPr>
      <w:bookmarkStart w:id="15" w:name="_Toc150592040"/>
      <w:r w:rsidRPr="00A15C4C">
        <w:rPr>
          <w:szCs w:val="24"/>
        </w:rPr>
        <w:t>V rámci objektu je navrženo přemístění sedimentů ve zdrži po zimě</w:t>
      </w:r>
      <w:r>
        <w:rPr>
          <w:szCs w:val="24"/>
        </w:rPr>
        <w:t>.</w:t>
      </w:r>
    </w:p>
    <w:p w:rsidR="00A15C4C" w:rsidRPr="00E60A09" w:rsidRDefault="00A15C4C" w:rsidP="00F942E5">
      <w:pPr>
        <w:rPr>
          <w:szCs w:val="24"/>
        </w:rPr>
      </w:pPr>
      <w:r w:rsidRPr="00E60A09">
        <w:rPr>
          <w:szCs w:val="24"/>
        </w:rPr>
        <w:t>Množství není m</w:t>
      </w:r>
      <w:r w:rsidR="007B6525" w:rsidRPr="00E60A09">
        <w:rPr>
          <w:szCs w:val="24"/>
        </w:rPr>
        <w:t>ožné specifikovat, jedná se o od</w:t>
      </w:r>
      <w:r w:rsidRPr="00E60A09">
        <w:rPr>
          <w:szCs w:val="24"/>
        </w:rPr>
        <w:t>had. Dle vyjádření investora je zdrž po vyčištění. Přemístění sedimentů v místě nasazené jímky a před levým polem pohyblivého jezu je uvedeno v soupisu prací. Sediment se nebude odvážet mimo zdrž.</w:t>
      </w:r>
    </w:p>
    <w:p w:rsidR="00F942E5" w:rsidRDefault="00F942E5" w:rsidP="00F942E5">
      <w:pPr>
        <w:rPr>
          <w:szCs w:val="24"/>
        </w:rPr>
      </w:pPr>
      <w:r w:rsidRPr="00EE2E2A">
        <w:rPr>
          <w:b/>
          <w:szCs w:val="24"/>
        </w:rPr>
        <w:t>Sanace levého pilíře</w:t>
      </w:r>
      <w:r w:rsidRPr="00EE2E2A">
        <w:rPr>
          <w:szCs w:val="24"/>
        </w:rPr>
        <w:t xml:space="preserve"> je navržena pomocí injektáže, která bude prováděna z jeho povrchu na styku betonové výplně původního manipulačního otvoru (betonová výplň z hubeného beton</w:t>
      </w:r>
      <w:r>
        <w:rPr>
          <w:szCs w:val="24"/>
        </w:rPr>
        <w:t>u byla provedena v roce 2001) s</w:t>
      </w:r>
      <w:r w:rsidRPr="00EE2E2A">
        <w:rPr>
          <w:szCs w:val="24"/>
        </w:rPr>
        <w:t xml:space="preserve"> </w:t>
      </w:r>
      <w:r>
        <w:rPr>
          <w:szCs w:val="24"/>
        </w:rPr>
        <w:t xml:space="preserve">kvádrovým </w:t>
      </w:r>
      <w:r w:rsidRPr="00EE2E2A">
        <w:rPr>
          <w:szCs w:val="24"/>
        </w:rPr>
        <w:t xml:space="preserve">zdivem </w:t>
      </w:r>
      <w:r>
        <w:rPr>
          <w:szCs w:val="24"/>
        </w:rPr>
        <w:t>pilíře</w:t>
      </w:r>
      <w:r w:rsidRPr="00EE2E2A">
        <w:rPr>
          <w:szCs w:val="24"/>
        </w:rPr>
        <w:t>.</w:t>
      </w:r>
      <w:r>
        <w:rPr>
          <w:szCs w:val="24"/>
        </w:rPr>
        <w:t xml:space="preserve"> </w:t>
      </w:r>
    </w:p>
    <w:p w:rsidR="00F942E5" w:rsidRDefault="00F942E5" w:rsidP="00F942E5">
      <w:pPr>
        <w:rPr>
          <w:szCs w:val="24"/>
        </w:rPr>
      </w:pPr>
      <w:r>
        <w:rPr>
          <w:szCs w:val="24"/>
        </w:rPr>
        <w:t xml:space="preserve">Před začátkem injektážních prací bude provedeno odbourání (snížení)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pilíře o dvě horní „</w:t>
      </w:r>
      <w:proofErr w:type="spellStart"/>
      <w:r>
        <w:rPr>
          <w:szCs w:val="24"/>
        </w:rPr>
        <w:t>šáry</w:t>
      </w:r>
      <w:proofErr w:type="spellEnd"/>
      <w:r>
        <w:rPr>
          <w:szCs w:val="24"/>
        </w:rPr>
        <w:t xml:space="preserve">“ kamene (cca o 80 cm). Kámen z pilířů bude rozebraný „ručně“ tak, aby nedošlo k jeho porušení. Přetříděné kameny budou uloženy na </w:t>
      </w:r>
      <w:proofErr w:type="spellStart"/>
      <w:r>
        <w:rPr>
          <w:szCs w:val="24"/>
        </w:rPr>
        <w:t>mezideponii</w:t>
      </w:r>
      <w:proofErr w:type="spellEnd"/>
      <w:r>
        <w:rPr>
          <w:szCs w:val="24"/>
        </w:rPr>
        <w:t xml:space="preserve">. Přebytečné kameny budou odvezeny a uloženy dle požadavků investora. </w:t>
      </w:r>
    </w:p>
    <w:p w:rsidR="00F942E5" w:rsidRDefault="00F942E5" w:rsidP="00F942E5">
      <w:pPr>
        <w:rPr>
          <w:szCs w:val="24"/>
        </w:rPr>
      </w:pPr>
      <w:r>
        <w:rPr>
          <w:szCs w:val="24"/>
        </w:rPr>
        <w:t>Následně budou provedeny vrtné práce. Pro vlastní sanaci zdiva levého pilíře</w:t>
      </w:r>
      <w:r w:rsidRPr="00EE2E2A">
        <w:rPr>
          <w:szCs w:val="24"/>
        </w:rPr>
        <w:t xml:space="preserve"> je navrženo pro injektáž 11 vrtů (1S-11S) o průměru 140</w:t>
      </w:r>
      <w:r>
        <w:rPr>
          <w:szCs w:val="24"/>
        </w:rPr>
        <w:t xml:space="preserve"> </w:t>
      </w:r>
      <w:r w:rsidRPr="00EE2E2A">
        <w:rPr>
          <w:szCs w:val="24"/>
        </w:rPr>
        <w:t>mm</w:t>
      </w:r>
      <w:r>
        <w:rPr>
          <w:szCs w:val="24"/>
        </w:rPr>
        <w:t>.</w:t>
      </w:r>
      <w:r w:rsidRPr="00EE2E2A">
        <w:rPr>
          <w:szCs w:val="24"/>
        </w:rPr>
        <w:t xml:space="preserve"> Základová sp</w:t>
      </w:r>
      <w:r w:rsidR="007C25AC">
        <w:rPr>
          <w:szCs w:val="24"/>
        </w:rPr>
        <w:t>ára (založení pilíře) je neznámá</w:t>
      </w:r>
      <w:r w:rsidRPr="00EE2E2A">
        <w:rPr>
          <w:szCs w:val="24"/>
        </w:rPr>
        <w:t>. Ukončení vrtných prací a clony je navrženo</w:t>
      </w:r>
      <w:r w:rsidR="007C25AC">
        <w:rPr>
          <w:szCs w:val="24"/>
        </w:rPr>
        <w:t xml:space="preserve"> cca 1,0 m pod zastiženou úrovní</w:t>
      </w:r>
      <w:r w:rsidRPr="00EE2E2A">
        <w:rPr>
          <w:szCs w:val="24"/>
        </w:rPr>
        <w:t xml:space="preserve"> skalního podloží. To předpokládáme na výškové kótě cca 324,60-325,00 m </w:t>
      </w:r>
      <w:proofErr w:type="gramStart"/>
      <w:r w:rsidRPr="00EE2E2A">
        <w:rPr>
          <w:szCs w:val="24"/>
        </w:rPr>
        <w:t>n.m.</w:t>
      </w:r>
      <w:proofErr w:type="gramEnd"/>
      <w:r w:rsidRPr="00EE2E2A">
        <w:rPr>
          <w:szCs w:val="24"/>
        </w:rPr>
        <w:t xml:space="preserve">  Po vyvrtání bude vrt osazen perforovaným potrubím</w:t>
      </w:r>
      <w:r>
        <w:rPr>
          <w:szCs w:val="24"/>
        </w:rPr>
        <w:t xml:space="preserve"> s manžetami</w:t>
      </w:r>
      <w:r w:rsidRPr="00EE2E2A">
        <w:rPr>
          <w:szCs w:val="24"/>
        </w:rPr>
        <w:t xml:space="preserve"> a zalit bentonitovou směsí (nízkotlaká injektáž). Pro injektáž bude použita </w:t>
      </w:r>
      <w:proofErr w:type="spellStart"/>
      <w:r w:rsidRPr="00EE2E2A">
        <w:rPr>
          <w:szCs w:val="24"/>
        </w:rPr>
        <w:t>jílocementová</w:t>
      </w:r>
      <w:proofErr w:type="spellEnd"/>
      <w:r w:rsidRPr="00EE2E2A">
        <w:rPr>
          <w:szCs w:val="24"/>
        </w:rPr>
        <w:t xml:space="preserve"> směs, která bude čerpána do zalitého potrubí a po etážích oddělených </w:t>
      </w:r>
      <w:proofErr w:type="spellStart"/>
      <w:r w:rsidRPr="00EE2E2A">
        <w:rPr>
          <w:szCs w:val="24"/>
        </w:rPr>
        <w:t>obturátorem</w:t>
      </w:r>
      <w:proofErr w:type="spellEnd"/>
      <w:r w:rsidRPr="00EE2E2A">
        <w:rPr>
          <w:szCs w:val="24"/>
        </w:rPr>
        <w:t xml:space="preserve"> bude </w:t>
      </w:r>
      <w:r>
        <w:rPr>
          <w:szCs w:val="24"/>
        </w:rPr>
        <w:t>sestupně</w:t>
      </w:r>
      <w:r w:rsidRPr="00EE2E2A">
        <w:rPr>
          <w:szCs w:val="24"/>
        </w:rPr>
        <w:t xml:space="preserve"> provedena injekční clona (vysokotlaká injektáž). Po dokončení injekčních prací bude</w:t>
      </w:r>
      <w:r>
        <w:rPr>
          <w:szCs w:val="24"/>
        </w:rPr>
        <w:t xml:space="preserve"> injekční potrubí v horní části odstraněno na výšku kamene a</w:t>
      </w:r>
      <w:r w:rsidRPr="00EE2E2A">
        <w:rPr>
          <w:szCs w:val="24"/>
        </w:rPr>
        <w:t xml:space="preserve"> </w:t>
      </w:r>
      <w:proofErr w:type="spellStart"/>
      <w:r w:rsidRPr="00EE2E2A">
        <w:rPr>
          <w:szCs w:val="24"/>
        </w:rPr>
        <w:t>zhlaví</w:t>
      </w:r>
      <w:proofErr w:type="spellEnd"/>
      <w:r w:rsidRPr="00EE2E2A">
        <w:rPr>
          <w:szCs w:val="24"/>
        </w:rPr>
        <w:t xml:space="preserve"> vrtu zalito betonovou směsí</w:t>
      </w:r>
      <w:r>
        <w:rPr>
          <w:szCs w:val="24"/>
        </w:rPr>
        <w:t xml:space="preserve">. </w:t>
      </w:r>
    </w:p>
    <w:p w:rsidR="00F942E5" w:rsidRDefault="00F942E5" w:rsidP="00F942E5">
      <w:pPr>
        <w:rPr>
          <w:szCs w:val="24"/>
        </w:rPr>
      </w:pPr>
      <w:r>
        <w:rPr>
          <w:szCs w:val="24"/>
        </w:rPr>
        <w:t xml:space="preserve">Pro stabilizaci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levého pilíře po jeho snížení je navržena kotvená železobetonová dobetonávka. </w:t>
      </w:r>
    </w:p>
    <w:p w:rsidR="00F942E5" w:rsidRDefault="00F942E5" w:rsidP="00F942E5">
      <w:pPr>
        <w:rPr>
          <w:szCs w:val="24"/>
        </w:rPr>
      </w:pPr>
      <w:r w:rsidRPr="00EE2E2A">
        <w:rPr>
          <w:szCs w:val="24"/>
        </w:rPr>
        <w:t>Po dokončení</w:t>
      </w:r>
      <w:r>
        <w:rPr>
          <w:szCs w:val="24"/>
        </w:rPr>
        <w:t xml:space="preserve"> injekčních</w:t>
      </w:r>
      <w:r w:rsidRPr="00EE2E2A">
        <w:rPr>
          <w:szCs w:val="24"/>
        </w:rPr>
        <w:t xml:space="preserve"> prací bude konstrukce očištěna tlakovou vodou</w:t>
      </w:r>
      <w:r>
        <w:rPr>
          <w:szCs w:val="24"/>
        </w:rPr>
        <w:t xml:space="preserve"> a </w:t>
      </w:r>
      <w:proofErr w:type="spellStart"/>
      <w:r>
        <w:rPr>
          <w:szCs w:val="24"/>
        </w:rPr>
        <w:t>přespárována</w:t>
      </w:r>
      <w:proofErr w:type="spellEnd"/>
      <w:r w:rsidRPr="00EE2E2A">
        <w:rPr>
          <w:szCs w:val="24"/>
        </w:rPr>
        <w:t>.</w:t>
      </w:r>
      <w:r>
        <w:rPr>
          <w:szCs w:val="24"/>
        </w:rPr>
        <w:t xml:space="preserve"> </w:t>
      </w:r>
    </w:p>
    <w:p w:rsidR="00F942E5" w:rsidRPr="00EE2E2A" w:rsidRDefault="00F942E5" w:rsidP="00F942E5">
      <w:pPr>
        <w:rPr>
          <w:szCs w:val="24"/>
        </w:rPr>
      </w:pPr>
      <w:r>
        <w:rPr>
          <w:szCs w:val="24"/>
        </w:rPr>
        <w:t>Ve spodní části pilíře bude provedena náhrada zdiva (vybourání a zpětné zazdění) degradovaných pískovcových kvádrů.</w:t>
      </w:r>
      <w:r w:rsidRPr="00EE4009">
        <w:rPr>
          <w:szCs w:val="24"/>
        </w:rPr>
        <w:t xml:space="preserve"> </w:t>
      </w:r>
      <w:r>
        <w:rPr>
          <w:szCs w:val="24"/>
        </w:rPr>
        <w:t xml:space="preserve">Degradované pískovcové zdivo bude odbouráno a dozděno vytříděným kamenem ze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pilířů (požadavek investora zachovat stejný kámen – pohledově).</w:t>
      </w:r>
    </w:p>
    <w:p w:rsidR="00F942E5" w:rsidRDefault="00F942E5" w:rsidP="00F942E5">
      <w:pPr>
        <w:rPr>
          <w:szCs w:val="24"/>
        </w:rPr>
      </w:pPr>
    </w:p>
    <w:p w:rsidR="00F942E5" w:rsidRDefault="00F942E5" w:rsidP="00F942E5">
      <w:pPr>
        <w:rPr>
          <w:szCs w:val="24"/>
        </w:rPr>
      </w:pPr>
      <w:r w:rsidRPr="00EE2E2A">
        <w:rPr>
          <w:szCs w:val="24"/>
        </w:rPr>
        <w:t xml:space="preserve">Vlastní </w:t>
      </w:r>
      <w:r w:rsidRPr="00EE2E2A">
        <w:rPr>
          <w:b/>
          <w:szCs w:val="24"/>
        </w:rPr>
        <w:t xml:space="preserve">sanace </w:t>
      </w:r>
      <w:proofErr w:type="spellStart"/>
      <w:r w:rsidRPr="00EE2E2A">
        <w:rPr>
          <w:b/>
          <w:szCs w:val="24"/>
        </w:rPr>
        <w:t>mezipilíře</w:t>
      </w:r>
      <w:proofErr w:type="spellEnd"/>
      <w:r w:rsidRPr="00EE2E2A">
        <w:rPr>
          <w:szCs w:val="24"/>
        </w:rPr>
        <w:t xml:space="preserve"> je navržena pomocí dvouřadé injekční clony. Ta bude prováděna přímo z povrchu </w:t>
      </w:r>
      <w:proofErr w:type="spellStart"/>
      <w:r w:rsidRPr="00EE2E2A">
        <w:rPr>
          <w:szCs w:val="24"/>
        </w:rPr>
        <w:t>mezipilíře</w:t>
      </w:r>
      <w:proofErr w:type="spellEnd"/>
      <w:r w:rsidRPr="00EE2E2A">
        <w:rPr>
          <w:szCs w:val="24"/>
        </w:rPr>
        <w:t>, který je opevněný kamennou</w:t>
      </w:r>
      <w:r>
        <w:rPr>
          <w:szCs w:val="24"/>
        </w:rPr>
        <w:t>, nepravidelnou žulovou</w:t>
      </w:r>
      <w:r w:rsidRPr="00EE2E2A">
        <w:rPr>
          <w:szCs w:val="24"/>
        </w:rPr>
        <w:t xml:space="preserve"> dlažbou</w:t>
      </w:r>
      <w:r>
        <w:rPr>
          <w:szCs w:val="24"/>
        </w:rPr>
        <w:t>, pravděpodobně do be</w:t>
      </w:r>
      <w:r w:rsidRPr="00EE2E2A">
        <w:rPr>
          <w:szCs w:val="24"/>
        </w:rPr>
        <w:t xml:space="preserve">tonu (provádění provizorní vodorovné pracovní plošiny není navrženo). Výplň </w:t>
      </w:r>
      <w:proofErr w:type="spellStart"/>
      <w:r w:rsidRPr="00EE2E2A">
        <w:rPr>
          <w:szCs w:val="24"/>
        </w:rPr>
        <w:t>mezipilíře</w:t>
      </w:r>
      <w:proofErr w:type="spellEnd"/>
      <w:r w:rsidRPr="00EE2E2A">
        <w:rPr>
          <w:szCs w:val="24"/>
        </w:rPr>
        <w:t xml:space="preserve"> je neznámá. Předpokládáme, že prostor </w:t>
      </w:r>
      <w:proofErr w:type="spellStart"/>
      <w:r w:rsidRPr="00EE2E2A">
        <w:rPr>
          <w:szCs w:val="24"/>
        </w:rPr>
        <w:t>mezipilíře</w:t>
      </w:r>
      <w:proofErr w:type="spellEnd"/>
      <w:r w:rsidRPr="00EE2E2A">
        <w:rPr>
          <w:szCs w:val="24"/>
        </w:rPr>
        <w:t xml:space="preserve"> je vyplněný netříděným zemním zásypem (hlinitojílovitá hlína), vyloučit nelze kameny, úlomky cihel apod. Proto je </w:t>
      </w:r>
      <w:r w:rsidRPr="00EE2E2A">
        <w:rPr>
          <w:szCs w:val="24"/>
        </w:rPr>
        <w:lastRenderedPageBreak/>
        <w:t>navržena injektáž pro horninové prostředí. Pro vrty návodní řady je navrženo cca 24 ks vrtů (1N-24N) o průměru 140 mm. Pro vrty vzdušní strany je navrženo cca 22 ks vrtů (1V-22V) o průměru 140 mm. Ukončení vrtných prací a clony je navržen</w:t>
      </w:r>
      <w:r w:rsidR="007C25AC">
        <w:rPr>
          <w:szCs w:val="24"/>
        </w:rPr>
        <w:t>o cca 1,0 m pod zastiženou úrovní</w:t>
      </w:r>
      <w:r w:rsidRPr="00EE2E2A">
        <w:rPr>
          <w:szCs w:val="24"/>
        </w:rPr>
        <w:t xml:space="preserve"> skalního podloží. To předpokládáme na výškové kótě cca 324,60-325,00 m </w:t>
      </w:r>
      <w:proofErr w:type="gramStart"/>
      <w:r w:rsidRPr="00EE2E2A">
        <w:rPr>
          <w:szCs w:val="24"/>
        </w:rPr>
        <w:t>n.m.</w:t>
      </w:r>
      <w:proofErr w:type="gramEnd"/>
      <w:r w:rsidRPr="00EE2E2A">
        <w:rPr>
          <w:szCs w:val="24"/>
        </w:rPr>
        <w:t xml:space="preserve">  Po vyvrtání bude vrt osazen perforovaným potrubím a zalit bentonitovou směsí (nízkotlaká injektáž). Pro injektáž bude použita </w:t>
      </w:r>
      <w:proofErr w:type="spellStart"/>
      <w:r w:rsidRPr="00EE2E2A">
        <w:rPr>
          <w:szCs w:val="24"/>
        </w:rPr>
        <w:t>jílocementová</w:t>
      </w:r>
      <w:proofErr w:type="spellEnd"/>
      <w:r w:rsidRPr="00EE2E2A">
        <w:rPr>
          <w:szCs w:val="24"/>
        </w:rPr>
        <w:t xml:space="preserve"> směs, která bude čerpána do zalitého potrubí a po etážích oddělených </w:t>
      </w:r>
      <w:proofErr w:type="spellStart"/>
      <w:r w:rsidRPr="00EE2E2A">
        <w:rPr>
          <w:szCs w:val="24"/>
        </w:rPr>
        <w:t>obturátorem</w:t>
      </w:r>
      <w:proofErr w:type="spellEnd"/>
      <w:r w:rsidRPr="00EE2E2A">
        <w:rPr>
          <w:szCs w:val="24"/>
        </w:rPr>
        <w:t xml:space="preserve"> bude </w:t>
      </w:r>
      <w:r>
        <w:rPr>
          <w:szCs w:val="24"/>
        </w:rPr>
        <w:t>sestupně</w:t>
      </w:r>
      <w:r w:rsidRPr="00EE2E2A">
        <w:rPr>
          <w:szCs w:val="24"/>
        </w:rPr>
        <w:t xml:space="preserve"> provedena injekční clona (vysokotlaká injektáž). Po dokončení injekčních prací bude</w:t>
      </w:r>
      <w:r>
        <w:rPr>
          <w:szCs w:val="24"/>
        </w:rPr>
        <w:t xml:space="preserve"> injekční potrubí v horní části odstraněno na výšku kamenného obkladu a</w:t>
      </w:r>
      <w:r w:rsidRPr="00EE2E2A">
        <w:rPr>
          <w:szCs w:val="24"/>
        </w:rPr>
        <w:t xml:space="preserve"> </w:t>
      </w:r>
      <w:proofErr w:type="spellStart"/>
      <w:r w:rsidRPr="00EE2E2A">
        <w:rPr>
          <w:szCs w:val="24"/>
        </w:rPr>
        <w:t>zhlaví</w:t>
      </w:r>
      <w:proofErr w:type="spellEnd"/>
      <w:r w:rsidRPr="00EE2E2A">
        <w:rPr>
          <w:szCs w:val="24"/>
        </w:rPr>
        <w:t xml:space="preserve"> vrtu zalito betonovou směsí (kameny nebudou nahrazovány). </w:t>
      </w:r>
    </w:p>
    <w:p w:rsidR="00F942E5" w:rsidRPr="00EE2E2A" w:rsidRDefault="00F942E5" w:rsidP="00F942E5">
      <w:pPr>
        <w:rPr>
          <w:szCs w:val="24"/>
        </w:rPr>
      </w:pPr>
      <w:r w:rsidRPr="00EE2E2A">
        <w:rPr>
          <w:szCs w:val="24"/>
        </w:rPr>
        <w:t>Po dokončení prací bude kon</w:t>
      </w:r>
      <w:r>
        <w:rPr>
          <w:szCs w:val="24"/>
        </w:rPr>
        <w:t xml:space="preserve">strukce očištěna tlakovou vodou a zdi </w:t>
      </w:r>
      <w:proofErr w:type="spellStart"/>
      <w:r>
        <w:rPr>
          <w:szCs w:val="24"/>
        </w:rPr>
        <w:t>mezipilíře</w:t>
      </w:r>
      <w:proofErr w:type="spellEnd"/>
      <w:r>
        <w:rPr>
          <w:szCs w:val="24"/>
        </w:rPr>
        <w:t xml:space="preserve"> budou (vodorovné i svislé plochy) budou </w:t>
      </w:r>
      <w:proofErr w:type="spellStart"/>
      <w:r>
        <w:rPr>
          <w:szCs w:val="24"/>
        </w:rPr>
        <w:t>přespárovány</w:t>
      </w:r>
      <w:proofErr w:type="spellEnd"/>
      <w:r>
        <w:rPr>
          <w:szCs w:val="24"/>
        </w:rPr>
        <w:t>.</w:t>
      </w:r>
    </w:p>
    <w:p w:rsidR="00F942E5" w:rsidRDefault="00F942E5" w:rsidP="00F942E5">
      <w:pPr>
        <w:rPr>
          <w:b/>
          <w:szCs w:val="24"/>
        </w:rPr>
      </w:pPr>
    </w:p>
    <w:p w:rsidR="00F942E5" w:rsidRDefault="00F942E5" w:rsidP="00F942E5">
      <w:pPr>
        <w:rPr>
          <w:szCs w:val="24"/>
        </w:rPr>
      </w:pPr>
      <w:r w:rsidRPr="00EE2E2A">
        <w:rPr>
          <w:b/>
          <w:szCs w:val="24"/>
        </w:rPr>
        <w:t>Odvodňovací vrty</w:t>
      </w:r>
      <w:r w:rsidRPr="00EE2E2A">
        <w:rPr>
          <w:szCs w:val="24"/>
        </w:rPr>
        <w:t xml:space="preserve"> budou provedeny ve svislé stěně </w:t>
      </w:r>
      <w:proofErr w:type="spellStart"/>
      <w:r w:rsidRPr="00EE2E2A">
        <w:rPr>
          <w:szCs w:val="24"/>
        </w:rPr>
        <w:t>mezipilíře</w:t>
      </w:r>
      <w:proofErr w:type="spellEnd"/>
      <w:r w:rsidRPr="00EE2E2A">
        <w:rPr>
          <w:szCs w:val="24"/>
        </w:rPr>
        <w:t xml:space="preserve">, na nižší </w:t>
      </w:r>
      <w:r>
        <w:rPr>
          <w:szCs w:val="24"/>
        </w:rPr>
        <w:t xml:space="preserve">výškové </w:t>
      </w:r>
      <w:r w:rsidRPr="00EE2E2A">
        <w:rPr>
          <w:szCs w:val="24"/>
        </w:rPr>
        <w:t xml:space="preserve">úrovni, než jsou umístěné stávající tři odvodňovací vrty. Účelem </w:t>
      </w:r>
      <w:r>
        <w:rPr>
          <w:szCs w:val="24"/>
        </w:rPr>
        <w:t xml:space="preserve">odvodňovacích vrtů </w:t>
      </w:r>
      <w:r w:rsidRPr="00EE2E2A">
        <w:rPr>
          <w:szCs w:val="24"/>
        </w:rPr>
        <w:t>je snížit vystavenou hladinu vody v </w:t>
      </w:r>
      <w:proofErr w:type="spellStart"/>
      <w:r w:rsidRPr="00EE2E2A">
        <w:rPr>
          <w:szCs w:val="24"/>
        </w:rPr>
        <w:t>mezipilíři</w:t>
      </w:r>
      <w:proofErr w:type="spellEnd"/>
      <w:r w:rsidRPr="00EE2E2A">
        <w:rPr>
          <w:szCs w:val="24"/>
        </w:rPr>
        <w:t xml:space="preserve"> a odvést prosáklou vodu po vybudování injekční clony z tělesa </w:t>
      </w:r>
      <w:proofErr w:type="spellStart"/>
      <w:r w:rsidRPr="00EE2E2A">
        <w:rPr>
          <w:szCs w:val="24"/>
        </w:rPr>
        <w:t>mezipilíře</w:t>
      </w:r>
      <w:proofErr w:type="spellEnd"/>
      <w:r w:rsidRPr="00EE2E2A">
        <w:rPr>
          <w:szCs w:val="24"/>
        </w:rPr>
        <w:t>.</w:t>
      </w:r>
      <w:r>
        <w:rPr>
          <w:szCs w:val="24"/>
        </w:rPr>
        <w:t xml:space="preserve"> </w:t>
      </w:r>
      <w:r w:rsidRPr="00EE2E2A">
        <w:rPr>
          <w:szCs w:val="24"/>
        </w:rPr>
        <w:t xml:space="preserve">Odvodňovací vrty budou provedeny až po vybudování injekční clony (eliminace rizika jejich ucpání injekční </w:t>
      </w:r>
      <w:proofErr w:type="spellStart"/>
      <w:r w:rsidRPr="00EE2E2A">
        <w:rPr>
          <w:szCs w:val="24"/>
        </w:rPr>
        <w:t>jílocementovou</w:t>
      </w:r>
      <w:proofErr w:type="spellEnd"/>
      <w:r w:rsidRPr="00EE2E2A">
        <w:rPr>
          <w:szCs w:val="24"/>
        </w:rPr>
        <w:t xml:space="preserve"> směsí), převrtáním svislé stěny cca max. 0,5 m za její rub. Odvodňovací vrty budou vystrojeny (osazeny) </w:t>
      </w:r>
      <w:proofErr w:type="spellStart"/>
      <w:r w:rsidRPr="00EE2E2A">
        <w:rPr>
          <w:szCs w:val="24"/>
        </w:rPr>
        <w:t>výpažnicí</w:t>
      </w:r>
      <w:proofErr w:type="spellEnd"/>
      <w:r w:rsidRPr="00EE2E2A">
        <w:rPr>
          <w:szCs w:val="24"/>
        </w:rPr>
        <w:t xml:space="preserve"> s přesahem na líc stěny cca 10 cm.</w:t>
      </w:r>
    </w:p>
    <w:p w:rsidR="00F942E5" w:rsidRDefault="00F942E5" w:rsidP="00F942E5">
      <w:pPr>
        <w:rPr>
          <w:b/>
          <w:szCs w:val="24"/>
        </w:rPr>
      </w:pPr>
    </w:p>
    <w:p w:rsidR="00F942E5" w:rsidRDefault="00F942E5" w:rsidP="00F942E5">
      <w:pPr>
        <w:rPr>
          <w:szCs w:val="24"/>
        </w:rPr>
      </w:pPr>
      <w:r>
        <w:rPr>
          <w:szCs w:val="24"/>
        </w:rPr>
        <w:t>Vybouraná suť (spárování, vrty), přebytečná zemina z vrtů a z</w:t>
      </w:r>
      <w:r w:rsidRPr="00EE2E2A">
        <w:rPr>
          <w:szCs w:val="24"/>
        </w:rPr>
        <w:t xml:space="preserve">tvrdlá </w:t>
      </w:r>
      <w:proofErr w:type="spellStart"/>
      <w:r w:rsidRPr="00EE2E2A">
        <w:rPr>
          <w:szCs w:val="24"/>
        </w:rPr>
        <w:t>jíloceme</w:t>
      </w:r>
      <w:r>
        <w:rPr>
          <w:szCs w:val="24"/>
        </w:rPr>
        <w:t>n</w:t>
      </w:r>
      <w:r w:rsidRPr="00EE2E2A">
        <w:rPr>
          <w:szCs w:val="24"/>
        </w:rPr>
        <w:t>tová</w:t>
      </w:r>
      <w:proofErr w:type="spellEnd"/>
      <w:r w:rsidRPr="00EE2E2A">
        <w:rPr>
          <w:szCs w:val="24"/>
        </w:rPr>
        <w:t xml:space="preserve"> směs a vyplavený bentonit</w:t>
      </w:r>
      <w:r>
        <w:rPr>
          <w:szCs w:val="24"/>
        </w:rPr>
        <w:t xml:space="preserve"> bude odvezen na skládku odpadů.</w:t>
      </w:r>
    </w:p>
    <w:p w:rsidR="00982685" w:rsidRPr="00EE2E2A" w:rsidRDefault="00982685" w:rsidP="00982685">
      <w:pPr>
        <w:rPr>
          <w:szCs w:val="24"/>
        </w:rPr>
      </w:pPr>
    </w:p>
    <w:p w:rsidR="00982685" w:rsidRPr="00EE2E2A" w:rsidRDefault="00982685" w:rsidP="00982685">
      <w:pPr>
        <w:rPr>
          <w:b/>
          <w:szCs w:val="24"/>
        </w:rPr>
      </w:pPr>
      <w:r w:rsidRPr="00EE2E2A">
        <w:rPr>
          <w:b/>
          <w:szCs w:val="24"/>
        </w:rPr>
        <w:t>Pomocné práce a zařízení, zařazeno do VON:</w:t>
      </w:r>
    </w:p>
    <w:p w:rsidR="00982685" w:rsidRPr="00EE2E2A" w:rsidRDefault="00982685" w:rsidP="00982685">
      <w:pPr>
        <w:rPr>
          <w:szCs w:val="24"/>
        </w:rPr>
      </w:pPr>
      <w:r w:rsidRPr="00EE2E2A">
        <w:rPr>
          <w:szCs w:val="24"/>
        </w:rPr>
        <w:t>Doprava mechanizace je řešena v rámci zařízení staveniště vybudováním provizorního sjezdu do pod</w:t>
      </w:r>
      <w:r w:rsidR="00D257A5">
        <w:rPr>
          <w:szCs w:val="24"/>
        </w:rPr>
        <w:t>jezí</w:t>
      </w:r>
      <w:r w:rsidRPr="00EE2E2A">
        <w:rPr>
          <w:szCs w:val="24"/>
        </w:rPr>
        <w:t xml:space="preserve"> z pravého břehu. Sjezd bude využitý i pro odstěhování zařízení a odvezení kontejneru nebo jímky, kde bude skladována ztvrdlá </w:t>
      </w:r>
      <w:proofErr w:type="spellStart"/>
      <w:r w:rsidRPr="00EE2E2A">
        <w:rPr>
          <w:szCs w:val="24"/>
        </w:rPr>
        <w:t>jílocementová</w:t>
      </w:r>
      <w:proofErr w:type="spellEnd"/>
      <w:r w:rsidRPr="00EE2E2A">
        <w:rPr>
          <w:szCs w:val="24"/>
        </w:rPr>
        <w:t xml:space="preserve"> suspenze. </w:t>
      </w:r>
    </w:p>
    <w:p w:rsidR="00982685" w:rsidRPr="00EE2E2A" w:rsidRDefault="00982685" w:rsidP="00982685">
      <w:pPr>
        <w:rPr>
          <w:szCs w:val="24"/>
        </w:rPr>
      </w:pPr>
      <w:r w:rsidRPr="00EE2E2A">
        <w:rPr>
          <w:szCs w:val="24"/>
        </w:rPr>
        <w:t xml:space="preserve">Přenos vrtné soupravy se předpokládá pomocí jeřábu. </w:t>
      </w:r>
    </w:p>
    <w:p w:rsidR="00982685" w:rsidRDefault="00982685" w:rsidP="00982685">
      <w:pPr>
        <w:rPr>
          <w:szCs w:val="24"/>
        </w:rPr>
      </w:pPr>
      <w:r w:rsidRPr="00EE2E2A">
        <w:rPr>
          <w:szCs w:val="24"/>
        </w:rPr>
        <w:t>Aby nedocházelo k vyplavení cementové směsi do zdrže, během provádění vlastních injekční prací, budou tyto práce prováděny při vypuštěné zdrži nebo při vybudované ochranné jímce</w:t>
      </w:r>
      <w:r>
        <w:rPr>
          <w:szCs w:val="24"/>
        </w:rPr>
        <w:t xml:space="preserve"> (provizorní nasazená jímka v nadjezí)</w:t>
      </w:r>
      <w:r w:rsidRPr="00EE2E2A">
        <w:rPr>
          <w:szCs w:val="24"/>
        </w:rPr>
        <w:t>, ze které bude odčerpávaná voda do kontejneru nebo jímky umístěné v </w:t>
      </w:r>
      <w:r w:rsidR="00AB79CC">
        <w:rPr>
          <w:szCs w:val="24"/>
        </w:rPr>
        <w:t>podjezí</w:t>
      </w:r>
      <w:r w:rsidRPr="00EE2E2A">
        <w:rPr>
          <w:szCs w:val="24"/>
        </w:rPr>
        <w:t xml:space="preserve"> pro skladování ztvrdlé </w:t>
      </w:r>
      <w:proofErr w:type="spellStart"/>
      <w:r w:rsidRPr="00EE2E2A">
        <w:rPr>
          <w:szCs w:val="24"/>
        </w:rPr>
        <w:t>jílocementové</w:t>
      </w:r>
      <w:proofErr w:type="spellEnd"/>
      <w:r w:rsidRPr="00EE2E2A">
        <w:rPr>
          <w:szCs w:val="24"/>
        </w:rPr>
        <w:t xml:space="preserve"> suspenze. Nasazená provizorní jímka v nadjezí a kontejner</w:t>
      </w:r>
      <w:r w:rsidR="007370AB">
        <w:rPr>
          <w:szCs w:val="24"/>
        </w:rPr>
        <w:t xml:space="preserve"> (nebo plastová nádrž)</w:t>
      </w:r>
      <w:r w:rsidRPr="00EE2E2A">
        <w:rPr>
          <w:szCs w:val="24"/>
        </w:rPr>
        <w:t xml:space="preserve"> je zařazen pod VON.</w:t>
      </w:r>
    </w:p>
    <w:p w:rsidR="00982685" w:rsidRPr="0037766C" w:rsidRDefault="00982685" w:rsidP="00982685">
      <w:pPr>
        <w:rPr>
          <w:b/>
          <w:szCs w:val="24"/>
        </w:rPr>
      </w:pPr>
      <w:r w:rsidRPr="0037766C">
        <w:rPr>
          <w:b/>
          <w:szCs w:val="24"/>
        </w:rPr>
        <w:t>V rámci zařízení staveniště provede dodavatel taková opatření, aby nedocházelo k odplavování injekční směsi do koryta řeky.</w:t>
      </w:r>
    </w:p>
    <w:p w:rsidR="0037766C" w:rsidRDefault="0037766C" w:rsidP="00982685">
      <w:pPr>
        <w:rPr>
          <w:szCs w:val="24"/>
        </w:rPr>
      </w:pPr>
    </w:p>
    <w:p w:rsidR="007370AB" w:rsidRDefault="007370AB" w:rsidP="00982685">
      <w:pPr>
        <w:rPr>
          <w:szCs w:val="24"/>
        </w:rPr>
      </w:pPr>
      <w:r>
        <w:rPr>
          <w:szCs w:val="24"/>
        </w:rPr>
        <w:t>Dodavatel vypracuje:</w:t>
      </w:r>
    </w:p>
    <w:p w:rsidR="007370AB" w:rsidRDefault="007370AB" w:rsidP="007370AB">
      <w:pPr>
        <w:pStyle w:val="Odstavecseseznamem"/>
        <w:numPr>
          <w:ilvl w:val="0"/>
          <w:numId w:val="25"/>
        </w:numPr>
        <w:rPr>
          <w:szCs w:val="24"/>
        </w:rPr>
      </w:pPr>
      <w:r>
        <w:rPr>
          <w:szCs w:val="24"/>
        </w:rPr>
        <w:t>Technologický postup inj</w:t>
      </w:r>
      <w:r w:rsidR="009935A9">
        <w:rPr>
          <w:szCs w:val="24"/>
        </w:rPr>
        <w:t>ek</w:t>
      </w:r>
      <w:r>
        <w:rPr>
          <w:szCs w:val="24"/>
        </w:rPr>
        <w:t>táže,</w:t>
      </w:r>
    </w:p>
    <w:p w:rsidR="007370AB" w:rsidRDefault="002246A1" w:rsidP="007370AB">
      <w:pPr>
        <w:pStyle w:val="Odstavecseseznamem"/>
        <w:numPr>
          <w:ilvl w:val="0"/>
          <w:numId w:val="25"/>
        </w:numPr>
        <w:rPr>
          <w:szCs w:val="24"/>
        </w:rPr>
      </w:pPr>
      <w:r>
        <w:rPr>
          <w:szCs w:val="24"/>
        </w:rPr>
        <w:t>KZP (K</w:t>
      </w:r>
      <w:r w:rsidR="007370AB">
        <w:rPr>
          <w:szCs w:val="24"/>
        </w:rPr>
        <w:t>ontrolní a zkušební plán)</w:t>
      </w:r>
      <w:r w:rsidR="009935A9">
        <w:rPr>
          <w:szCs w:val="24"/>
        </w:rPr>
        <w:t>,</w:t>
      </w:r>
    </w:p>
    <w:p w:rsidR="009935A9" w:rsidRDefault="009935A9" w:rsidP="007370AB">
      <w:pPr>
        <w:pStyle w:val="Odstavecseseznamem"/>
        <w:numPr>
          <w:ilvl w:val="0"/>
          <w:numId w:val="25"/>
        </w:numPr>
        <w:rPr>
          <w:szCs w:val="24"/>
        </w:rPr>
      </w:pPr>
      <w:r>
        <w:rPr>
          <w:szCs w:val="24"/>
        </w:rPr>
        <w:t>Dokumentaci vrtů z vrtných prací</w:t>
      </w:r>
      <w:r w:rsidR="002246A1">
        <w:rPr>
          <w:szCs w:val="24"/>
        </w:rPr>
        <w:t xml:space="preserve"> (Hlášení o vrtání)</w:t>
      </w:r>
      <w:r>
        <w:rPr>
          <w:szCs w:val="24"/>
        </w:rPr>
        <w:t>,</w:t>
      </w:r>
    </w:p>
    <w:p w:rsidR="009935A9" w:rsidRPr="007370AB" w:rsidRDefault="009935A9" w:rsidP="007370AB">
      <w:pPr>
        <w:pStyle w:val="Odstavecseseznamem"/>
        <w:numPr>
          <w:ilvl w:val="0"/>
          <w:numId w:val="25"/>
        </w:numPr>
        <w:rPr>
          <w:szCs w:val="24"/>
        </w:rPr>
      </w:pPr>
      <w:r>
        <w:rPr>
          <w:szCs w:val="24"/>
        </w:rPr>
        <w:t>Injektážní protokol (</w:t>
      </w:r>
      <w:r w:rsidR="002246A1">
        <w:rPr>
          <w:szCs w:val="24"/>
        </w:rPr>
        <w:t xml:space="preserve">Hlášení o injektáži s uvedením </w:t>
      </w:r>
      <w:r>
        <w:rPr>
          <w:szCs w:val="24"/>
        </w:rPr>
        <w:t>spotřeby, dosažen</w:t>
      </w:r>
      <w:r w:rsidR="002246A1">
        <w:rPr>
          <w:szCs w:val="24"/>
        </w:rPr>
        <w:t>ých</w:t>
      </w:r>
      <w:r>
        <w:rPr>
          <w:szCs w:val="24"/>
        </w:rPr>
        <w:t xml:space="preserve"> tlak</w:t>
      </w:r>
      <w:r w:rsidR="002246A1">
        <w:rPr>
          <w:szCs w:val="24"/>
        </w:rPr>
        <w:t>ů</w:t>
      </w:r>
      <w:r>
        <w:rPr>
          <w:szCs w:val="24"/>
        </w:rPr>
        <w:t xml:space="preserve"> atd.).</w:t>
      </w:r>
    </w:p>
    <w:p w:rsidR="007370AB" w:rsidRPr="00EE2E2A" w:rsidRDefault="007370AB" w:rsidP="00982685">
      <w:pPr>
        <w:rPr>
          <w:szCs w:val="24"/>
        </w:rPr>
      </w:pPr>
    </w:p>
    <w:p w:rsidR="00CC7B48" w:rsidRPr="00C216D0" w:rsidRDefault="00CC7B48" w:rsidP="00CC7B48">
      <w:pPr>
        <w:pStyle w:val="Zkladntext"/>
        <w:spacing w:before="120" w:after="120"/>
        <w:rPr>
          <w:b/>
          <w:color w:val="FF0000"/>
        </w:rPr>
      </w:pPr>
    </w:p>
    <w:p w:rsidR="00CC7B48" w:rsidRPr="004E4168" w:rsidRDefault="00DD277A" w:rsidP="0094206F">
      <w:pPr>
        <w:pStyle w:val="Nadpis4"/>
        <w:tabs>
          <w:tab w:val="clear" w:pos="360"/>
          <w:tab w:val="num" w:pos="1134"/>
        </w:tabs>
        <w:ind w:left="567" w:hanging="567"/>
      </w:pPr>
      <w:r>
        <w:t xml:space="preserve"> </w:t>
      </w:r>
      <w:bookmarkStart w:id="16" w:name="_Toc10212843"/>
      <w:r w:rsidR="00CC7B48" w:rsidRPr="004E4168">
        <w:t>Vytyčení stavby</w:t>
      </w:r>
      <w:bookmarkEnd w:id="16"/>
    </w:p>
    <w:p w:rsidR="00386491" w:rsidRPr="004E4168" w:rsidRDefault="00CC7B48" w:rsidP="00CC7B48">
      <w:pPr>
        <w:pStyle w:val="Zkladntext"/>
        <w:spacing w:before="120"/>
      </w:pPr>
      <w:r w:rsidRPr="004E4168">
        <w:t>Výkresová dokumentace je zpracována v CAD s možností odsunutí polohy (souřadnic y, x v systému S – JTSK).</w:t>
      </w:r>
      <w:r w:rsidR="00F7263C" w:rsidRPr="004E4168">
        <w:t xml:space="preserve"> </w:t>
      </w:r>
    </w:p>
    <w:p w:rsidR="0094206F" w:rsidRDefault="0094206F">
      <w:pPr>
        <w:spacing w:after="0"/>
        <w:jc w:val="left"/>
        <w:rPr>
          <w:b/>
        </w:rPr>
      </w:pPr>
    </w:p>
    <w:p w:rsidR="00CC7B48" w:rsidRPr="004E4168" w:rsidRDefault="00DD277A" w:rsidP="00DD277A">
      <w:pPr>
        <w:pStyle w:val="Nadpis4"/>
      </w:pPr>
      <w:r>
        <w:t xml:space="preserve"> </w:t>
      </w:r>
      <w:bookmarkStart w:id="17" w:name="_Toc10212844"/>
      <w:r w:rsidR="00CC7B48" w:rsidRPr="004E4168">
        <w:t>Výkresová část</w:t>
      </w:r>
      <w:bookmarkEnd w:id="17"/>
      <w:r w:rsidR="00CC7B48" w:rsidRPr="004E4168">
        <w:t xml:space="preserve"> 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38"/>
      </w:tblGrid>
      <w:tr w:rsidR="00C216D0" w:rsidRPr="00C216D0" w:rsidTr="00CC7B48">
        <w:tc>
          <w:tcPr>
            <w:tcW w:w="1668" w:type="dxa"/>
            <w:shd w:val="clear" w:color="auto" w:fill="auto"/>
          </w:tcPr>
          <w:p w:rsidR="00CC7B48" w:rsidRPr="004E4168" w:rsidRDefault="00CC7B48" w:rsidP="00CC7B48">
            <w:r w:rsidRPr="004E4168">
              <w:t>ČÍSLO</w:t>
            </w:r>
          </w:p>
        </w:tc>
        <w:tc>
          <w:tcPr>
            <w:tcW w:w="7938" w:type="dxa"/>
            <w:shd w:val="clear" w:color="auto" w:fill="auto"/>
          </w:tcPr>
          <w:p w:rsidR="00CC7B48" w:rsidRPr="004E4168" w:rsidRDefault="00CC7B48" w:rsidP="00CC7B48">
            <w:r w:rsidRPr="004E4168">
              <w:t>OBSAH</w:t>
            </w:r>
          </w:p>
        </w:tc>
      </w:tr>
      <w:tr w:rsidR="00C216D0" w:rsidRPr="00C216D0" w:rsidTr="00CC7B48">
        <w:tc>
          <w:tcPr>
            <w:tcW w:w="1668" w:type="dxa"/>
            <w:shd w:val="clear" w:color="auto" w:fill="auto"/>
          </w:tcPr>
          <w:p w:rsidR="00CC7B48" w:rsidRPr="004E4168" w:rsidRDefault="00CC7B48" w:rsidP="0094206F">
            <w:r w:rsidRPr="004E4168">
              <w:t>SO</w:t>
            </w:r>
            <w:r w:rsidR="00480A22" w:rsidRPr="004E4168">
              <w:t xml:space="preserve"> </w:t>
            </w:r>
            <w:proofErr w:type="gramStart"/>
            <w:r w:rsidRPr="004E4168">
              <w:t>0</w:t>
            </w:r>
            <w:r w:rsidR="0094206F">
              <w:t>1</w:t>
            </w:r>
            <w:r w:rsidRPr="004E4168">
              <w:t xml:space="preserve"> D.</w:t>
            </w:r>
            <w:r w:rsidR="0094206F">
              <w:t>2</w:t>
            </w:r>
            <w:r w:rsidRPr="004E4168">
              <w:t>.</w:t>
            </w:r>
            <w:r w:rsidR="0094206F">
              <w:t>1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CC7B48" w:rsidRPr="004E4168" w:rsidRDefault="0094206F" w:rsidP="00F942E5">
            <w:r>
              <w:t>SITUACE –</w:t>
            </w:r>
            <w:r w:rsidR="00F942E5">
              <w:t xml:space="preserve"> </w:t>
            </w:r>
            <w:r>
              <w:t>ROZMÍSTĚNÍ VRTŮ</w:t>
            </w:r>
          </w:p>
        </w:tc>
      </w:tr>
      <w:tr w:rsidR="00C216D0" w:rsidRPr="00C216D0" w:rsidTr="00CC7B48">
        <w:tc>
          <w:tcPr>
            <w:tcW w:w="1668" w:type="dxa"/>
            <w:shd w:val="clear" w:color="auto" w:fill="auto"/>
          </w:tcPr>
          <w:p w:rsidR="00480A22" w:rsidRPr="004E4168" w:rsidRDefault="0094206F" w:rsidP="0094206F"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2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480A22" w:rsidRPr="004E4168" w:rsidRDefault="0094206F" w:rsidP="00CC7B48">
            <w:r>
              <w:t>VRTY NÁVODNÍ ŘADA</w:t>
            </w:r>
          </w:p>
        </w:tc>
      </w:tr>
      <w:tr w:rsidR="00C216D0" w:rsidRPr="00C216D0" w:rsidTr="00CC7B48">
        <w:tc>
          <w:tcPr>
            <w:tcW w:w="1668" w:type="dxa"/>
            <w:shd w:val="clear" w:color="auto" w:fill="auto"/>
          </w:tcPr>
          <w:p w:rsidR="00480A22" w:rsidRPr="004E4168" w:rsidRDefault="0094206F" w:rsidP="0094206F"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3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480A22" w:rsidRPr="004E4168" w:rsidRDefault="0094206F" w:rsidP="005C250B">
            <w:r>
              <w:t>VRTY POVODNÍ ŘADA</w:t>
            </w:r>
          </w:p>
        </w:tc>
      </w:tr>
      <w:tr w:rsidR="00C216D0" w:rsidRPr="00C216D0" w:rsidTr="00CC7B48">
        <w:tc>
          <w:tcPr>
            <w:tcW w:w="1668" w:type="dxa"/>
            <w:shd w:val="clear" w:color="auto" w:fill="auto"/>
          </w:tcPr>
          <w:p w:rsidR="005C250B" w:rsidRPr="004E4168" w:rsidRDefault="0094206F" w:rsidP="0094206F"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4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5C250B" w:rsidRPr="004E4168" w:rsidRDefault="0094206F" w:rsidP="005C250B">
            <w:r>
              <w:t>GEOLOGICKÉ ROZHRANÍ TYP: A</w:t>
            </w:r>
          </w:p>
        </w:tc>
      </w:tr>
      <w:tr w:rsidR="00C216D0" w:rsidRPr="00C216D0" w:rsidTr="00CC7B48">
        <w:tc>
          <w:tcPr>
            <w:tcW w:w="1668" w:type="dxa"/>
            <w:shd w:val="clear" w:color="auto" w:fill="auto"/>
          </w:tcPr>
          <w:p w:rsidR="005C250B" w:rsidRPr="004E4168" w:rsidRDefault="0094206F" w:rsidP="0094206F"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5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5C250B" w:rsidRPr="004E4168" w:rsidRDefault="0094206F" w:rsidP="005C250B">
            <w:r>
              <w:t>GEOLOGICKÉ ROZHRANÍ TYP: B</w:t>
            </w:r>
          </w:p>
        </w:tc>
      </w:tr>
      <w:tr w:rsidR="005C250B" w:rsidRPr="00C216D0" w:rsidTr="00CC7B48">
        <w:tc>
          <w:tcPr>
            <w:tcW w:w="1668" w:type="dxa"/>
            <w:shd w:val="clear" w:color="auto" w:fill="auto"/>
          </w:tcPr>
          <w:p w:rsidR="005C250B" w:rsidRPr="004E4168" w:rsidRDefault="0094206F" w:rsidP="0094206F"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6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5C250B" w:rsidRPr="004E4168" w:rsidRDefault="0094206F" w:rsidP="005C250B">
            <w:r>
              <w:t xml:space="preserve">ŠÍŘKA CLONY </w:t>
            </w:r>
          </w:p>
        </w:tc>
      </w:tr>
      <w:tr w:rsidR="004E4168" w:rsidRPr="00C216D0" w:rsidTr="00CC7B48">
        <w:tc>
          <w:tcPr>
            <w:tcW w:w="1668" w:type="dxa"/>
            <w:shd w:val="clear" w:color="auto" w:fill="auto"/>
          </w:tcPr>
          <w:p w:rsidR="004E4168" w:rsidRPr="008E61C2" w:rsidRDefault="0094206F" w:rsidP="0094206F">
            <w:pPr>
              <w:rPr>
                <w:color w:val="000000" w:themeColor="text1"/>
              </w:rPr>
            </w:pPr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7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4E4168" w:rsidRPr="008E61C2" w:rsidRDefault="0094206F" w:rsidP="0094206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SCHÉMA INJEKTÁŽE</w:t>
            </w:r>
          </w:p>
        </w:tc>
      </w:tr>
      <w:tr w:rsidR="0094206F" w:rsidRPr="00C216D0" w:rsidTr="00CC7B48">
        <w:tc>
          <w:tcPr>
            <w:tcW w:w="1668" w:type="dxa"/>
            <w:shd w:val="clear" w:color="auto" w:fill="auto"/>
          </w:tcPr>
          <w:p w:rsidR="0094206F" w:rsidRPr="004E4168" w:rsidRDefault="0094206F" w:rsidP="0094206F"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8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94206F" w:rsidRPr="008E61C2" w:rsidRDefault="0094206F" w:rsidP="005C25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KONEČNÁ ÚPRAVA VRTU</w:t>
            </w:r>
          </w:p>
        </w:tc>
      </w:tr>
      <w:tr w:rsidR="0094206F" w:rsidRPr="00C216D0" w:rsidTr="00CC7B48">
        <w:tc>
          <w:tcPr>
            <w:tcW w:w="1668" w:type="dxa"/>
            <w:shd w:val="clear" w:color="auto" w:fill="auto"/>
          </w:tcPr>
          <w:p w:rsidR="0094206F" w:rsidRPr="004E4168" w:rsidRDefault="0094206F"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9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94206F" w:rsidRPr="008E61C2" w:rsidRDefault="0094206F" w:rsidP="005C25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ODVODŇOVACÍ VRTY</w:t>
            </w:r>
          </w:p>
        </w:tc>
      </w:tr>
      <w:tr w:rsidR="0094206F" w:rsidRPr="00C216D0" w:rsidTr="00CC7B48">
        <w:tc>
          <w:tcPr>
            <w:tcW w:w="1668" w:type="dxa"/>
            <w:shd w:val="clear" w:color="auto" w:fill="auto"/>
          </w:tcPr>
          <w:p w:rsidR="0094206F" w:rsidRPr="004E4168" w:rsidRDefault="0094206F"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10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94206F" w:rsidRPr="008E61C2" w:rsidRDefault="00F942E5" w:rsidP="005C25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PLOCHY - MEZIPILÍŘ</w:t>
            </w:r>
          </w:p>
        </w:tc>
      </w:tr>
      <w:tr w:rsidR="0094206F" w:rsidRPr="00C216D0" w:rsidTr="00CC7B48">
        <w:tc>
          <w:tcPr>
            <w:tcW w:w="1668" w:type="dxa"/>
            <w:shd w:val="clear" w:color="auto" w:fill="auto"/>
          </w:tcPr>
          <w:p w:rsidR="0094206F" w:rsidRPr="004E4168" w:rsidRDefault="0094206F"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11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94206F" w:rsidRPr="008E61C2" w:rsidRDefault="00F942E5" w:rsidP="005C25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LEVÝ PILÍŘ</w:t>
            </w:r>
          </w:p>
        </w:tc>
      </w:tr>
      <w:tr w:rsidR="00146A70" w:rsidRPr="00C216D0" w:rsidTr="00CC7B48">
        <w:tc>
          <w:tcPr>
            <w:tcW w:w="1668" w:type="dxa"/>
            <w:shd w:val="clear" w:color="auto" w:fill="auto"/>
          </w:tcPr>
          <w:p w:rsidR="00146A70" w:rsidRPr="004E4168" w:rsidRDefault="00146A70" w:rsidP="00146A70"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12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146A70" w:rsidRDefault="00F942E5" w:rsidP="005C25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PLOCHY – LEVÝ PILÍŘ</w:t>
            </w:r>
          </w:p>
        </w:tc>
      </w:tr>
      <w:tr w:rsidR="00146A70" w:rsidRPr="00C216D0" w:rsidTr="00CC7B48">
        <w:tc>
          <w:tcPr>
            <w:tcW w:w="1668" w:type="dxa"/>
            <w:shd w:val="clear" w:color="auto" w:fill="auto"/>
          </w:tcPr>
          <w:p w:rsidR="00146A70" w:rsidRPr="004E4168" w:rsidRDefault="00146A70" w:rsidP="00146A70">
            <w:r w:rsidRPr="004E4168">
              <w:t xml:space="preserve">SO </w:t>
            </w:r>
            <w:proofErr w:type="gramStart"/>
            <w:r w:rsidRPr="004E4168">
              <w:t>0</w:t>
            </w:r>
            <w:r>
              <w:t>1</w:t>
            </w:r>
            <w:r w:rsidRPr="004E4168">
              <w:t xml:space="preserve"> D.</w:t>
            </w:r>
            <w:r>
              <w:t>2</w:t>
            </w:r>
            <w:r w:rsidRPr="004E4168">
              <w:t>.</w:t>
            </w:r>
            <w:r>
              <w:t>13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146A70" w:rsidRDefault="00146A70" w:rsidP="005C25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VÝKAZ VÝMĚR</w:t>
            </w:r>
          </w:p>
        </w:tc>
      </w:tr>
      <w:tr w:rsidR="00E60A09" w:rsidRPr="00C216D0" w:rsidTr="00CC7B48">
        <w:tc>
          <w:tcPr>
            <w:tcW w:w="1668" w:type="dxa"/>
            <w:shd w:val="clear" w:color="auto" w:fill="auto"/>
          </w:tcPr>
          <w:p w:rsidR="00E60A09" w:rsidRPr="004E4168" w:rsidRDefault="00E60A09" w:rsidP="00146A70">
            <w:r>
              <w:t xml:space="preserve">SO </w:t>
            </w:r>
            <w:proofErr w:type="gramStart"/>
            <w:r>
              <w:t>01 D.2.14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E60A09" w:rsidRDefault="00E60A09" w:rsidP="005C25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LEVÝ PILÍŘ – DOBETONÁVKA ZHLAVÍ PILÍŘE</w:t>
            </w:r>
          </w:p>
          <w:p w:rsidR="00E60A09" w:rsidRDefault="00E60A09" w:rsidP="005C25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SCHÉMA VÝZTUŽE</w:t>
            </w:r>
          </w:p>
        </w:tc>
      </w:tr>
    </w:tbl>
    <w:p w:rsidR="007C2739" w:rsidRPr="00C216D0" w:rsidRDefault="007C2739" w:rsidP="00CC7B48">
      <w:pPr>
        <w:rPr>
          <w:color w:val="FF0000"/>
          <w:szCs w:val="24"/>
        </w:rPr>
      </w:pPr>
    </w:p>
    <w:p w:rsidR="00CC7B48" w:rsidRPr="004E4168" w:rsidRDefault="0094206F" w:rsidP="0094206F">
      <w:pPr>
        <w:pStyle w:val="Nadpis4"/>
        <w:tabs>
          <w:tab w:val="clear" w:pos="360"/>
          <w:tab w:val="num" w:pos="1134"/>
        </w:tabs>
        <w:ind w:left="567" w:hanging="567"/>
      </w:pPr>
      <w:r>
        <w:t xml:space="preserve"> </w:t>
      </w:r>
      <w:bookmarkStart w:id="18" w:name="_Toc10212845"/>
      <w:r w:rsidR="00CC7B48" w:rsidRPr="004E4168">
        <w:t>Podrobný statický výpočet</w:t>
      </w:r>
      <w:bookmarkEnd w:id="18"/>
    </w:p>
    <w:p w:rsidR="00306CF1" w:rsidRPr="00D257A5" w:rsidRDefault="00306CF1" w:rsidP="00CC7B48">
      <w:pPr>
        <w:rPr>
          <w:szCs w:val="24"/>
        </w:rPr>
      </w:pPr>
      <w:r w:rsidRPr="00D257A5">
        <w:rPr>
          <w:szCs w:val="24"/>
        </w:rPr>
        <w:t xml:space="preserve">Projektant provedl návrh výztuže pro dobetonávku </w:t>
      </w:r>
      <w:proofErr w:type="spellStart"/>
      <w:r w:rsidRPr="00D257A5">
        <w:rPr>
          <w:szCs w:val="24"/>
        </w:rPr>
        <w:t>zhlaví</w:t>
      </w:r>
      <w:proofErr w:type="spellEnd"/>
      <w:r w:rsidRPr="00D257A5">
        <w:rPr>
          <w:szCs w:val="24"/>
        </w:rPr>
        <w:t xml:space="preserve"> výšky </w:t>
      </w:r>
      <w:r w:rsidR="00301DE4" w:rsidRPr="00D257A5">
        <w:rPr>
          <w:szCs w:val="24"/>
        </w:rPr>
        <w:t>3</w:t>
      </w:r>
      <w:r w:rsidRPr="00D257A5">
        <w:rPr>
          <w:szCs w:val="24"/>
        </w:rPr>
        <w:t>00 mm se zaměřením na omezení šířky trhliny v raném stadiu po betonáži prvku.</w:t>
      </w:r>
      <w:r w:rsidR="00301DE4" w:rsidRPr="00D257A5">
        <w:rPr>
          <w:szCs w:val="24"/>
        </w:rPr>
        <w:t xml:space="preserve"> Dále byla ověřeny požadavky na min. a max. plochy výztuže. Výpočet je uvedený na </w:t>
      </w:r>
      <w:proofErr w:type="gramStart"/>
      <w:r w:rsidR="00301DE4" w:rsidRPr="00D257A5">
        <w:rPr>
          <w:szCs w:val="24"/>
        </w:rPr>
        <w:t>příloze D</w:t>
      </w:r>
      <w:r w:rsidR="001B3E8D" w:rsidRPr="00D257A5">
        <w:rPr>
          <w:szCs w:val="24"/>
        </w:rPr>
        <w:t>.3</w:t>
      </w:r>
      <w:r w:rsidR="00D257A5" w:rsidRPr="00D257A5">
        <w:rPr>
          <w:szCs w:val="24"/>
        </w:rPr>
        <w:t xml:space="preserve"> Statické</w:t>
      </w:r>
      <w:proofErr w:type="gramEnd"/>
      <w:r w:rsidR="00D257A5" w:rsidRPr="00D257A5">
        <w:rPr>
          <w:szCs w:val="24"/>
        </w:rPr>
        <w:t xml:space="preserve"> výpočty</w:t>
      </w:r>
    </w:p>
    <w:p w:rsidR="00306CF1" w:rsidRPr="00D257A5" w:rsidRDefault="00306CF1" w:rsidP="00CC7B48">
      <w:pPr>
        <w:rPr>
          <w:szCs w:val="24"/>
        </w:rPr>
      </w:pPr>
      <w:r w:rsidRPr="00D257A5">
        <w:rPr>
          <w:szCs w:val="24"/>
        </w:rPr>
        <w:t>Limitní šířka trhliny: 0,3</w:t>
      </w:r>
      <w:r w:rsidR="001B3E8D" w:rsidRPr="00D257A5">
        <w:rPr>
          <w:szCs w:val="24"/>
        </w:rPr>
        <w:t xml:space="preserve"> </w:t>
      </w:r>
      <w:r w:rsidRPr="00D257A5">
        <w:rPr>
          <w:szCs w:val="24"/>
        </w:rPr>
        <w:t>mm</w:t>
      </w:r>
    </w:p>
    <w:p w:rsidR="00301DE4" w:rsidRPr="00D257A5" w:rsidRDefault="00301DE4" w:rsidP="00CC7B48">
      <w:r w:rsidRPr="00D257A5">
        <w:rPr>
          <w:szCs w:val="24"/>
        </w:rPr>
        <w:t xml:space="preserve">Pro beton C30/37 </w:t>
      </w:r>
      <w:r w:rsidRPr="00D257A5">
        <w:t>XC4, XF3 (XA1)</w:t>
      </w:r>
    </w:p>
    <w:p w:rsidR="00301DE4" w:rsidRPr="00D257A5" w:rsidRDefault="00301DE4" w:rsidP="00CC7B48">
      <w:r w:rsidRPr="00D257A5">
        <w:t>Návrh výztuže: R14/100</w:t>
      </w:r>
    </w:p>
    <w:p w:rsidR="00386491" w:rsidRPr="004E4168" w:rsidRDefault="00386491" w:rsidP="00CC7B48">
      <w:pPr>
        <w:rPr>
          <w:szCs w:val="24"/>
        </w:rPr>
      </w:pPr>
    </w:p>
    <w:p w:rsidR="00F7263C" w:rsidRPr="004E4168" w:rsidRDefault="0094206F" w:rsidP="0094206F">
      <w:pPr>
        <w:pStyle w:val="Nadpis4"/>
        <w:tabs>
          <w:tab w:val="clear" w:pos="360"/>
          <w:tab w:val="num" w:pos="1134"/>
        </w:tabs>
        <w:ind w:left="567" w:hanging="567"/>
      </w:pPr>
      <w:r>
        <w:t xml:space="preserve"> </w:t>
      </w:r>
      <w:bookmarkStart w:id="19" w:name="_Toc10212846"/>
      <w:r w:rsidR="00F7263C" w:rsidRPr="004E4168">
        <w:t>Výpočty</w:t>
      </w:r>
      <w:bookmarkEnd w:id="19"/>
    </w:p>
    <w:p w:rsidR="00F7263C" w:rsidRDefault="00F7263C" w:rsidP="00F7263C">
      <w:r w:rsidRPr="004E4168">
        <w:t>Žádné výpočty nebyly prováděny.</w:t>
      </w:r>
    </w:p>
    <w:p w:rsidR="0094206F" w:rsidRPr="0094206F" w:rsidRDefault="0094206F" w:rsidP="0094206F">
      <w:pPr>
        <w:rPr>
          <w:szCs w:val="24"/>
        </w:rPr>
      </w:pPr>
    </w:p>
    <w:p w:rsidR="0094206F" w:rsidRPr="004E4168" w:rsidRDefault="00AB54EB" w:rsidP="0094206F">
      <w:pPr>
        <w:pStyle w:val="Nadpis4"/>
        <w:tabs>
          <w:tab w:val="clear" w:pos="360"/>
          <w:tab w:val="num" w:pos="1134"/>
        </w:tabs>
        <w:ind w:left="567" w:hanging="567"/>
      </w:pPr>
      <w:bookmarkStart w:id="20" w:name="_Toc10212847"/>
      <w:r>
        <w:lastRenderedPageBreak/>
        <w:t>Výkaz výměr</w:t>
      </w:r>
      <w:bookmarkEnd w:id="20"/>
    </w:p>
    <w:p w:rsidR="0094206F" w:rsidRDefault="00AB54EB" w:rsidP="0094206F">
      <w:pPr>
        <w:rPr>
          <w:szCs w:val="24"/>
        </w:rPr>
      </w:pPr>
      <w:r>
        <w:rPr>
          <w:szCs w:val="24"/>
        </w:rPr>
        <w:t>Pro sestavení soupisu prací je uveden zjednodušený výkaz výměr (zařazeno za výkresovou dokumentací).</w:t>
      </w:r>
    </w:p>
    <w:p w:rsidR="00593179" w:rsidRPr="004E4168" w:rsidRDefault="00593179" w:rsidP="0094206F">
      <w:pPr>
        <w:rPr>
          <w:szCs w:val="24"/>
        </w:rPr>
      </w:pPr>
      <w:r>
        <w:rPr>
          <w:szCs w:val="24"/>
        </w:rPr>
        <w:t>Stanovená geologická rozhraní byla odhadnuta dle dříve provedených průzkumů (jejich popis je uveden</w:t>
      </w:r>
      <w:r w:rsidR="007C25AC">
        <w:rPr>
          <w:szCs w:val="24"/>
        </w:rPr>
        <w:t>ý</w:t>
      </w:r>
      <w:r>
        <w:rPr>
          <w:szCs w:val="24"/>
        </w:rPr>
        <w:t xml:space="preserve"> v Souhrnné technické zprávě – část B). </w:t>
      </w:r>
      <w:proofErr w:type="spellStart"/>
      <w:r>
        <w:rPr>
          <w:szCs w:val="24"/>
        </w:rPr>
        <w:t>Iženýrskogeologický</w:t>
      </w:r>
      <w:proofErr w:type="spellEnd"/>
      <w:r>
        <w:rPr>
          <w:szCs w:val="24"/>
        </w:rPr>
        <w:t xml:space="preserve"> průzkum pro zjištění úrovně skalního podloží levého pilíře pohyblivého jezu a výplně </w:t>
      </w:r>
      <w:proofErr w:type="spellStart"/>
      <w:r>
        <w:rPr>
          <w:szCs w:val="24"/>
        </w:rPr>
        <w:t>mezipilíře</w:t>
      </w:r>
      <w:proofErr w:type="spellEnd"/>
      <w:r>
        <w:rPr>
          <w:szCs w:val="24"/>
        </w:rPr>
        <w:t xml:space="preserve"> nebyl provedený.</w:t>
      </w:r>
    </w:p>
    <w:p w:rsidR="0094206F" w:rsidRPr="004E4168" w:rsidRDefault="0094206F" w:rsidP="00F7263C"/>
    <w:p w:rsidR="00F86841" w:rsidRPr="004E4168" w:rsidRDefault="00F86841" w:rsidP="007B343D">
      <w:pPr>
        <w:pStyle w:val="Nadpis4"/>
        <w:tabs>
          <w:tab w:val="clear" w:pos="360"/>
          <w:tab w:val="num" w:pos="1134"/>
        </w:tabs>
        <w:ind w:left="567" w:hanging="567"/>
      </w:pPr>
      <w:bookmarkStart w:id="21" w:name="_Toc10212848"/>
      <w:bookmarkEnd w:id="15"/>
      <w:r w:rsidRPr="004E4168">
        <w:t>Vodohospodářské řešení</w:t>
      </w:r>
      <w:bookmarkEnd w:id="21"/>
    </w:p>
    <w:p w:rsidR="00F86841" w:rsidRPr="004E4168" w:rsidRDefault="005221ED" w:rsidP="00F86841">
      <w:pPr>
        <w:rPr>
          <w:szCs w:val="24"/>
        </w:rPr>
      </w:pPr>
      <w:r w:rsidRPr="004E4168">
        <w:rPr>
          <w:szCs w:val="24"/>
        </w:rPr>
        <w:t xml:space="preserve">Vodohospodářské řešení </w:t>
      </w:r>
      <w:r w:rsidR="00F9205E" w:rsidRPr="004E4168">
        <w:rPr>
          <w:szCs w:val="24"/>
        </w:rPr>
        <w:t xml:space="preserve">se </w:t>
      </w:r>
      <w:r w:rsidR="000565C1" w:rsidRPr="004E4168">
        <w:rPr>
          <w:szCs w:val="24"/>
        </w:rPr>
        <w:t>nemění.</w:t>
      </w:r>
    </w:p>
    <w:p w:rsidR="00386491" w:rsidRPr="00C216D0" w:rsidRDefault="00386491" w:rsidP="00F86841">
      <w:pPr>
        <w:rPr>
          <w:color w:val="FF0000"/>
        </w:rPr>
      </w:pPr>
    </w:p>
    <w:p w:rsidR="005A5209" w:rsidRPr="003C1E70" w:rsidRDefault="005A5209" w:rsidP="00D81663">
      <w:pPr>
        <w:pStyle w:val="Nadpis3"/>
      </w:pPr>
      <w:bookmarkStart w:id="22" w:name="_Toc10212849"/>
      <w:r w:rsidRPr="003C1E70">
        <w:t>Požárně bezpečnostní řešení</w:t>
      </w:r>
      <w:bookmarkEnd w:id="22"/>
    </w:p>
    <w:p w:rsidR="005A5209" w:rsidRPr="003C1E70" w:rsidRDefault="005A5209" w:rsidP="00DB4135">
      <w:r w:rsidRPr="003C1E70">
        <w:t>Vzhledem k charakteru stavby není třeba řešit požárně bezpečnostní řešení.</w:t>
      </w:r>
    </w:p>
    <w:p w:rsidR="00386491" w:rsidRPr="003C1E70" w:rsidRDefault="00386491" w:rsidP="00DB4135"/>
    <w:p w:rsidR="00DE33DA" w:rsidRPr="003C1E70" w:rsidRDefault="00DE33DA" w:rsidP="00D81663">
      <w:pPr>
        <w:pStyle w:val="Nadpis3"/>
      </w:pPr>
      <w:bookmarkStart w:id="23" w:name="_Toc10212850"/>
      <w:r w:rsidRPr="003C1E70">
        <w:t>Technika prostředí staveb</w:t>
      </w:r>
      <w:bookmarkEnd w:id="23"/>
    </w:p>
    <w:p w:rsidR="00DE33DA" w:rsidRPr="003C1E70" w:rsidRDefault="00DE33DA" w:rsidP="00DB4135">
      <w:r w:rsidRPr="003C1E70">
        <w:t>Vzhledem k charakteru stavby není třeba řešit techniku prostředí staveb.</w:t>
      </w:r>
    </w:p>
    <w:p w:rsidR="005C250B" w:rsidRPr="003C1E70" w:rsidRDefault="005C250B" w:rsidP="00DB4135"/>
    <w:p w:rsidR="00DE33DA" w:rsidRPr="003C1E70" w:rsidRDefault="00DE33DA" w:rsidP="00DB4135">
      <w:pPr>
        <w:pStyle w:val="Nadpis2"/>
      </w:pPr>
      <w:bookmarkStart w:id="24" w:name="_Toc10212851"/>
      <w:r w:rsidRPr="003C1E70">
        <w:t>Dokumentace technických a technologických zařízení</w:t>
      </w:r>
      <w:bookmarkEnd w:id="24"/>
    </w:p>
    <w:p w:rsidR="007C278B" w:rsidRPr="003C1E70" w:rsidRDefault="007C278B" w:rsidP="007C278B">
      <w:r w:rsidRPr="003C1E70">
        <w:t xml:space="preserve">Vzhledem k charakteru stavby není </w:t>
      </w:r>
      <w:r w:rsidR="005D3742" w:rsidRPr="003C1E70">
        <w:t>provedena dokumentace technických a technologických zařízení</w:t>
      </w:r>
      <w:r w:rsidRPr="003C1E70">
        <w:t>.</w:t>
      </w:r>
    </w:p>
    <w:p w:rsidR="00C6677D" w:rsidRPr="003C1E70" w:rsidRDefault="00C6677D" w:rsidP="00D81663">
      <w:pPr>
        <w:pStyle w:val="Nadpis2"/>
      </w:pPr>
      <w:bookmarkStart w:id="25" w:name="_Toc316045314"/>
      <w:bookmarkStart w:id="26" w:name="_Toc316045316"/>
      <w:bookmarkStart w:id="27" w:name="_Toc304840587"/>
      <w:bookmarkStart w:id="28" w:name="_Toc304840590"/>
      <w:bookmarkStart w:id="29" w:name="_Toc304840591"/>
      <w:bookmarkStart w:id="30" w:name="_Toc304840592"/>
      <w:bookmarkStart w:id="31" w:name="_Toc304840593"/>
      <w:bookmarkStart w:id="32" w:name="_Toc316042140"/>
      <w:bookmarkStart w:id="33" w:name="_Toc316044042"/>
      <w:bookmarkStart w:id="34" w:name="_Toc316045324"/>
      <w:bookmarkStart w:id="35" w:name="_Toc316042141"/>
      <w:bookmarkStart w:id="36" w:name="_Toc316044043"/>
      <w:bookmarkStart w:id="37" w:name="_Toc316045325"/>
      <w:bookmarkStart w:id="38" w:name="_Toc357696663"/>
      <w:bookmarkStart w:id="39" w:name="_Toc10212852"/>
      <w:bookmarkEnd w:id="13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3C1E70">
        <w:t>Požadavky na materiály</w:t>
      </w:r>
      <w:bookmarkEnd w:id="38"/>
      <w:r w:rsidR="003000B8" w:rsidRPr="003C1E70">
        <w:t xml:space="preserve">, </w:t>
      </w:r>
      <w:r w:rsidR="005266B6" w:rsidRPr="003C1E70">
        <w:t>konstrukce</w:t>
      </w:r>
      <w:r w:rsidR="003000B8" w:rsidRPr="003C1E70">
        <w:t xml:space="preserve"> a zařízení</w:t>
      </w:r>
      <w:bookmarkEnd w:id="39"/>
    </w:p>
    <w:p w:rsidR="00530AE2" w:rsidRDefault="00530AE2" w:rsidP="00D81663">
      <w:pPr>
        <w:pStyle w:val="Nadpis3"/>
      </w:pPr>
      <w:bookmarkStart w:id="40" w:name="_Toc10212853"/>
      <w:r>
        <w:t>Injekční clona</w:t>
      </w:r>
      <w:bookmarkEnd w:id="40"/>
    </w:p>
    <w:p w:rsidR="0030185A" w:rsidRDefault="0030185A" w:rsidP="0030185A">
      <w:r>
        <w:t>Průměr vrtů: 140 mm</w:t>
      </w:r>
    </w:p>
    <w:p w:rsidR="0030185A" w:rsidRDefault="009935A9" w:rsidP="0030185A">
      <w:r>
        <w:t>Úklon</w:t>
      </w:r>
      <w:r w:rsidR="00446975">
        <w:t xml:space="preserve"> (sklon) vrtů: svislý</w:t>
      </w:r>
      <w:r w:rsidR="005D32D0">
        <w:t xml:space="preserve"> (bez sklonu)</w:t>
      </w:r>
    </w:p>
    <w:p w:rsidR="005D32D0" w:rsidRDefault="005D32D0" w:rsidP="0030185A">
      <w:r>
        <w:t>Směr sklonu: nestanoveno</w:t>
      </w:r>
    </w:p>
    <w:p w:rsidR="004950C4" w:rsidRDefault="004950C4" w:rsidP="004950C4">
      <w:pPr>
        <w:pStyle w:val="Nadpis3"/>
      </w:pPr>
      <w:bookmarkStart w:id="41" w:name="_Toc10212854"/>
      <w:r w:rsidRPr="005D1E41">
        <w:t xml:space="preserve">Požadavky na </w:t>
      </w:r>
      <w:r>
        <w:t>provádění injekční clony</w:t>
      </w:r>
      <w:bookmarkEnd w:id="41"/>
    </w:p>
    <w:p w:rsidR="00F038AA" w:rsidRDefault="004950C4" w:rsidP="00F038AA">
      <w:pPr>
        <w:pStyle w:val="Nadpis4"/>
      </w:pPr>
      <w:r>
        <w:t xml:space="preserve"> </w:t>
      </w:r>
      <w:bookmarkStart w:id="42" w:name="_Toc10212855"/>
      <w:r w:rsidR="00F038AA">
        <w:t>Hloubení vrtů pro injektáž – I. fáze</w:t>
      </w:r>
      <w:r w:rsidR="0037766C">
        <w:t xml:space="preserve"> injektáž.</w:t>
      </w:r>
      <w:r w:rsidR="00EA025E">
        <w:t xml:space="preserve"> (z</w:t>
      </w:r>
      <w:r w:rsidR="0037766C">
        <w:t xml:space="preserve">álivka, </w:t>
      </w:r>
      <w:proofErr w:type="spellStart"/>
      <w:r w:rsidR="0037766C">
        <w:t>nízkotl</w:t>
      </w:r>
      <w:proofErr w:type="spellEnd"/>
      <w:r w:rsidR="0037766C">
        <w:t>.</w:t>
      </w:r>
      <w:r w:rsidR="00EA025E">
        <w:t xml:space="preserve"> injektáž)</w:t>
      </w:r>
      <w:bookmarkEnd w:id="42"/>
    </w:p>
    <w:p w:rsidR="00F038AA" w:rsidRPr="00593179" w:rsidRDefault="00F038AA" w:rsidP="00F038AA">
      <w:r w:rsidRPr="00593179">
        <w:t xml:space="preserve">Vrty pro injektáž jsou určeny svým číslem, délkou, sklonem a směrem sklonu. Tyto údaje budou pro každý vrt uvedeny v příkazové </w:t>
      </w:r>
      <w:r w:rsidR="0030185A" w:rsidRPr="00593179">
        <w:t xml:space="preserve">části </w:t>
      </w:r>
      <w:r w:rsidRPr="00593179">
        <w:t xml:space="preserve">„Hlášení o vrtání“. Vrtná souprava bude ustavena na vytyčený závrtný bod v předepsaném směru a sklonu. Vrtný nástroj vrtné kolony bude směrovat na vytyčený závrtný bod a lafeta stroje bude nastavena </w:t>
      </w:r>
      <w:r w:rsidR="00446975" w:rsidRPr="00593179">
        <w:t>svisle</w:t>
      </w:r>
      <w:r w:rsidRPr="00593179">
        <w:t>. Nastavený směr a sklon vrtu kontroluje mistr a posádka jej kontroluje při zavrtávání a následně i v průběhu vrtání. Zjištěné odchylky je vždy nutno neprodleně opravit.</w:t>
      </w:r>
    </w:p>
    <w:p w:rsidR="00F038AA" w:rsidRPr="00593179" w:rsidRDefault="00446975" w:rsidP="00F038AA">
      <w:r w:rsidRPr="00593179">
        <w:t xml:space="preserve">Projektová dokumentace předpokládá provedení jádrových </w:t>
      </w:r>
      <w:proofErr w:type="spellStart"/>
      <w:r w:rsidRPr="00593179">
        <w:t>odvrtů</w:t>
      </w:r>
      <w:proofErr w:type="spellEnd"/>
      <w:r w:rsidRPr="00593179">
        <w:t xml:space="preserve"> o průměru 140 mm. Pokud bude docházet k zavalování vrtů, budou vrtné práce realizovány</w:t>
      </w:r>
      <w:r w:rsidR="00F038AA" w:rsidRPr="00593179">
        <w:t xml:space="preserve"> rotačním </w:t>
      </w:r>
      <w:proofErr w:type="spellStart"/>
      <w:r w:rsidR="00F038AA" w:rsidRPr="00593179">
        <w:t>plnočelbovým</w:t>
      </w:r>
      <w:proofErr w:type="spellEnd"/>
      <w:r w:rsidR="00F038AA" w:rsidRPr="00593179">
        <w:t xml:space="preserve"> způsobem vrtání na </w:t>
      </w:r>
      <w:proofErr w:type="spellStart"/>
      <w:r w:rsidR="00F038AA" w:rsidRPr="00593179">
        <w:t>jílocementový</w:t>
      </w:r>
      <w:proofErr w:type="spellEnd"/>
      <w:r w:rsidR="00F038AA" w:rsidRPr="00593179">
        <w:t xml:space="preserve"> výplach, tím dojde během vrtání k vyplnění všech </w:t>
      </w:r>
      <w:r w:rsidR="00F038AA" w:rsidRPr="00593179">
        <w:lastRenderedPageBreak/>
        <w:t xml:space="preserve">zastižených dutin a rozvolněných prostor. Pokud dojde během realizace vrtu ke ztrátě vrtného výplachu, bude neprodleně vrtání zastaveno a obnoveno bude až po opětovném výtoku výplachu z ústí vrtu. Tento způsob výplně rozvolněných prostor a případných dutin představuje realizaci nízkotlaké injektáže s maximálním plnícím tlakem 0.4 až 0.6 </w:t>
      </w:r>
      <w:proofErr w:type="spellStart"/>
      <w:r w:rsidR="00F038AA" w:rsidRPr="00593179">
        <w:t>MPa</w:t>
      </w:r>
      <w:proofErr w:type="spellEnd"/>
      <w:r w:rsidR="00F038AA" w:rsidRPr="00593179">
        <w:t>.</w:t>
      </w:r>
    </w:p>
    <w:p w:rsidR="00F038AA" w:rsidRDefault="00F038AA" w:rsidP="00F038AA">
      <w:r w:rsidRPr="00593179">
        <w:t>Vrtmistr sleduje geologický profil každého vrtu a zapisuje jej do „Hlášení o vrtání“. Změny geologie oproti předpokladům projektu musí být zohledněny při dalších postupech, případně musí být projednány s objednatelem a projektantem.</w:t>
      </w:r>
    </w:p>
    <w:p w:rsidR="004950C4" w:rsidRPr="004950C4" w:rsidRDefault="004950C4" w:rsidP="00F038AA">
      <w:r w:rsidRPr="004950C4">
        <w:t xml:space="preserve">Při provádění zálivky bude vizuálně kontrolováno, zda nedochází k úniku injekční směsi ze stěn </w:t>
      </w:r>
      <w:proofErr w:type="spellStart"/>
      <w:r w:rsidRPr="004950C4">
        <w:t>mezipilíře</w:t>
      </w:r>
      <w:proofErr w:type="spellEnd"/>
      <w:r w:rsidRPr="004950C4">
        <w:t xml:space="preserve"> a z levého pilíře původního pohyblivého jezu. V případě, že k únikům dojde, </w:t>
      </w:r>
      <w:proofErr w:type="spellStart"/>
      <w:r w:rsidRPr="004950C4">
        <w:t>injketáž</w:t>
      </w:r>
      <w:proofErr w:type="spellEnd"/>
      <w:r w:rsidRPr="004950C4">
        <w:t xml:space="preserve"> bude okamžitě zastavena. Další postup bude konzultován s projektantem a technologem realizační společnosti.</w:t>
      </w:r>
    </w:p>
    <w:p w:rsidR="00F038AA" w:rsidRDefault="00F038AA" w:rsidP="00F038AA"/>
    <w:p w:rsidR="00F038AA" w:rsidRDefault="00F038AA" w:rsidP="00F038AA">
      <w:pPr>
        <w:pStyle w:val="Nadpis4"/>
      </w:pPr>
      <w:r>
        <w:t xml:space="preserve"> </w:t>
      </w:r>
      <w:bookmarkStart w:id="43" w:name="_Toc10212856"/>
      <w:r>
        <w:t>Výroba injekčních trubek</w:t>
      </w:r>
      <w:bookmarkEnd w:id="43"/>
      <w:r>
        <w:t xml:space="preserve"> </w:t>
      </w:r>
    </w:p>
    <w:p w:rsidR="00F038AA" w:rsidRPr="00593179" w:rsidRDefault="00F038AA" w:rsidP="00F038AA">
      <w:r w:rsidRPr="00593179">
        <w:t xml:space="preserve">Pro klasickou injektáž budou použity PVC manžetové injekční trubky </w:t>
      </w:r>
      <w:r w:rsidR="00446975" w:rsidRPr="00593179">
        <w:t>do průměru 50</w:t>
      </w:r>
      <w:r w:rsidRPr="00593179">
        <w:t xml:space="preserve"> mm</w:t>
      </w:r>
      <w:r w:rsidR="00446975" w:rsidRPr="00593179">
        <w:t xml:space="preserve"> (přesný průměr stanový dodavatel v technologickém předpisu)</w:t>
      </w:r>
      <w:r w:rsidRPr="00593179">
        <w:t xml:space="preserve">, jednotlivé manžety budou vymezeny gumovou objímkou, která bude překrývat </w:t>
      </w:r>
      <w:r w:rsidR="00446975" w:rsidRPr="00593179">
        <w:t>tři</w:t>
      </w:r>
      <w:r w:rsidRPr="00593179">
        <w:t xml:space="preserve"> injekční otvory. Poloha gumových objímek bude stabilizována distančními kroužky z umělé hmoty. Distanční kroužky budou k trubce přichyceny lepidlem. Vzájemná vzdálenost jednotlivých manžet bude 0.5 m. Délka a skladba injekčních tr</w:t>
      </w:r>
      <w:r w:rsidR="00446975" w:rsidRPr="00593179">
        <w:t>ubek bude stanovena v technologickém předpisu dodavatele</w:t>
      </w:r>
      <w:r w:rsidRPr="00593179">
        <w:t>.</w:t>
      </w:r>
    </w:p>
    <w:p w:rsidR="00F038AA" w:rsidRDefault="00F038AA" w:rsidP="00F038AA"/>
    <w:p w:rsidR="00F038AA" w:rsidRDefault="00F038AA" w:rsidP="00F038AA">
      <w:pPr>
        <w:pStyle w:val="Nadpis4"/>
      </w:pPr>
      <w:r>
        <w:t xml:space="preserve"> </w:t>
      </w:r>
      <w:bookmarkStart w:id="44" w:name="_Toc10212857"/>
      <w:r>
        <w:t>Osazení injekčních trubek do vyhloubených vrtů</w:t>
      </w:r>
      <w:bookmarkEnd w:id="44"/>
    </w:p>
    <w:p w:rsidR="00F038AA" w:rsidRPr="00593179" w:rsidRDefault="00F038AA" w:rsidP="00F038AA">
      <w:r w:rsidRPr="00593179">
        <w:t xml:space="preserve">Po </w:t>
      </w:r>
      <w:proofErr w:type="spellStart"/>
      <w:r w:rsidRPr="00593179">
        <w:t>dohloubení</w:t>
      </w:r>
      <w:proofErr w:type="spellEnd"/>
      <w:r w:rsidRPr="00593179">
        <w:t xml:space="preserve"> vrtů na projektem požadovanou délku a dokonalém pročištění vrtů budou do vrtů osazeny jednotlivé injekční trubky tak, aby přečnívaly minimálně o 0</w:t>
      </w:r>
      <w:r w:rsidR="00EA025E" w:rsidRPr="00593179">
        <w:t>,</w:t>
      </w:r>
      <w:r w:rsidRPr="00593179">
        <w:t xml:space="preserve">2 m ústí vrtu. Zálivku vrtu vytvoří </w:t>
      </w:r>
      <w:proofErr w:type="spellStart"/>
      <w:r w:rsidRPr="00593179">
        <w:t>jílocementový</w:t>
      </w:r>
      <w:proofErr w:type="spellEnd"/>
      <w:r w:rsidRPr="00593179">
        <w:t xml:space="preserve"> výplach ponechaný ve vrtu a plynule doplňovaný při vytěžování vrtné kolony. </w:t>
      </w:r>
    </w:p>
    <w:p w:rsidR="00F038AA" w:rsidRDefault="00F038AA" w:rsidP="00F038AA"/>
    <w:p w:rsidR="00F038AA" w:rsidRDefault="00F038AA" w:rsidP="00F038AA">
      <w:pPr>
        <w:pStyle w:val="Nadpis4"/>
      </w:pPr>
      <w:r>
        <w:t xml:space="preserve"> </w:t>
      </w:r>
      <w:bookmarkStart w:id="45" w:name="_Toc10212858"/>
      <w:r w:rsidR="0037766C">
        <w:t>Horn.</w:t>
      </w:r>
      <w:r w:rsidR="00EA025E">
        <w:t xml:space="preserve"> </w:t>
      </w:r>
      <w:proofErr w:type="gramStart"/>
      <w:r w:rsidR="00EA025E">
        <w:t>sanační</w:t>
      </w:r>
      <w:proofErr w:type="gramEnd"/>
      <w:r w:rsidR="00EA025E">
        <w:t xml:space="preserve"> </w:t>
      </w:r>
      <w:r>
        <w:t xml:space="preserve">injektáž – II. fáze injektáže </w:t>
      </w:r>
      <w:r w:rsidR="00EA025E">
        <w:t>(clona</w:t>
      </w:r>
      <w:r w:rsidR="0037766C">
        <w:t xml:space="preserve">, </w:t>
      </w:r>
      <w:proofErr w:type="spellStart"/>
      <w:r w:rsidR="0037766C">
        <w:t>vysokotl</w:t>
      </w:r>
      <w:proofErr w:type="spellEnd"/>
      <w:r w:rsidR="0037766C">
        <w:t>.</w:t>
      </w:r>
      <w:r w:rsidR="00EA025E">
        <w:t xml:space="preserve"> injektáž)</w:t>
      </w:r>
      <w:bookmarkEnd w:id="45"/>
    </w:p>
    <w:p w:rsidR="004950C4" w:rsidRDefault="00F038AA" w:rsidP="004950C4">
      <w:r w:rsidRPr="009523E6">
        <w:t xml:space="preserve">Injektáž bude realizována jako sestupná v jedné etáži </w:t>
      </w:r>
      <w:proofErr w:type="spellStart"/>
      <w:r w:rsidRPr="009523E6">
        <w:t>jílocementovou</w:t>
      </w:r>
      <w:proofErr w:type="spellEnd"/>
      <w:r w:rsidRPr="009523E6">
        <w:t xml:space="preserve"> injekční směsí. Kritériem pro ukončení injektáže je dosažení maximálního injekčního tlaku 0.6 </w:t>
      </w:r>
      <w:proofErr w:type="spellStart"/>
      <w:r w:rsidRPr="009523E6">
        <w:t>MPa</w:t>
      </w:r>
      <w:proofErr w:type="spellEnd"/>
      <w:r w:rsidRPr="009523E6">
        <w:t xml:space="preserve"> – 0.8 </w:t>
      </w:r>
      <w:proofErr w:type="spellStart"/>
      <w:r w:rsidRPr="009523E6">
        <w:t>MPa</w:t>
      </w:r>
      <w:proofErr w:type="spellEnd"/>
      <w:r w:rsidRPr="009523E6">
        <w:t xml:space="preserve">. Injekční etáž bude při injektáži vymezena jednoduchým necirkulačním </w:t>
      </w:r>
      <w:proofErr w:type="spellStart"/>
      <w:r w:rsidRPr="009523E6">
        <w:t>obturátorem</w:t>
      </w:r>
      <w:proofErr w:type="spellEnd"/>
      <w:r w:rsidRPr="009523E6">
        <w:t xml:space="preserve">, nebo bude na horní konec injekční trubky našroubován injekční adaptér. Injektáž může být zahájena za 48 hodin po osazení injekční trubky do zálivkové směsi rychlostí 3 – </w:t>
      </w:r>
      <w:r w:rsidR="00EA025E" w:rsidRPr="009523E6">
        <w:t>5</w:t>
      </w:r>
      <w:r w:rsidRPr="009523E6">
        <w:t xml:space="preserve"> l/min při nejpomalejším chodu injekčního čerpadla. Pokud se při injektáži nedosáhne určeného injekčního tlaku při spotřebě injekční směsi = </w:t>
      </w:r>
      <w:r w:rsidR="00EA025E" w:rsidRPr="009523E6">
        <w:t>500</w:t>
      </w:r>
      <w:r w:rsidRPr="009523E6">
        <w:t xml:space="preserve"> l/vrt, o dalším postupu injektáže rozhodne technolog společnosti.</w:t>
      </w:r>
      <w:r w:rsidR="004950C4" w:rsidRPr="004950C4">
        <w:t xml:space="preserve"> </w:t>
      </w:r>
    </w:p>
    <w:p w:rsidR="00F038AA" w:rsidRPr="009523E6" w:rsidRDefault="00F038AA" w:rsidP="00F038AA">
      <w:r w:rsidRPr="009523E6">
        <w:t>Výše uvedená kritéria sanační injektáže můžou být v průběhu prací upravována projektantem nebo technologem společnosti na základě vyhodnocení výsledků skutečně zastižené geologie v zájmovém úseku a průběhu injekčních prací!</w:t>
      </w:r>
    </w:p>
    <w:p w:rsidR="00F038AA" w:rsidRPr="009523E6" w:rsidRDefault="00F038AA" w:rsidP="00F038AA">
      <w:r w:rsidRPr="009523E6">
        <w:t xml:space="preserve">Injekční vrty budou realizovány systémem čerstvý </w:t>
      </w:r>
      <w:r w:rsidR="007C25AC">
        <w:t>-</w:t>
      </w:r>
      <w:r w:rsidRPr="009523E6">
        <w:t xml:space="preserve"> čerstvý </w:t>
      </w:r>
      <w:r w:rsidR="007C25AC">
        <w:t>-</w:t>
      </w:r>
      <w:r w:rsidRPr="009523E6">
        <w:t xml:space="preserve"> čerstvý ……., tedy následný vrt bude vždy injektován ihned po předchozím. </w:t>
      </w:r>
    </w:p>
    <w:p w:rsidR="004950C4" w:rsidRDefault="00F038AA" w:rsidP="004950C4">
      <w:r w:rsidRPr="009523E6">
        <w:t>Průběh injekčních prací bude zaznamenáván do formuláře „Hlášení o injektáži“, kde bude uveden koncový injekční tlak a celková spotřeba injekční směsi pro dané fáze injektáže jednotlivých injekčních vrtů.</w:t>
      </w:r>
      <w:r w:rsidR="004950C4" w:rsidRPr="004950C4">
        <w:t xml:space="preserve"> </w:t>
      </w:r>
    </w:p>
    <w:p w:rsidR="004950C4" w:rsidRPr="004950C4" w:rsidRDefault="004950C4" w:rsidP="004950C4">
      <w:r w:rsidRPr="004950C4">
        <w:lastRenderedPageBreak/>
        <w:t xml:space="preserve">Při provádění </w:t>
      </w:r>
      <w:r>
        <w:t>clony</w:t>
      </w:r>
      <w:r w:rsidRPr="004950C4">
        <w:t xml:space="preserve"> bude vizuálně kontrolováno, zda nedochází k úniku injekční směsi ze stěn </w:t>
      </w:r>
      <w:proofErr w:type="spellStart"/>
      <w:r w:rsidRPr="004950C4">
        <w:t>mezipilíře</w:t>
      </w:r>
      <w:proofErr w:type="spellEnd"/>
      <w:r w:rsidRPr="004950C4">
        <w:t xml:space="preserve"> a z levého pilíře původního pohyblivého jezu. V případě, že k únikům dojde, inj</w:t>
      </w:r>
      <w:r>
        <w:t>ek</w:t>
      </w:r>
      <w:r w:rsidRPr="004950C4">
        <w:t>táž bude okamžitě zastavena. Další postup bude konzultován s projektantem a technologem realizační společnosti.</w:t>
      </w:r>
    </w:p>
    <w:p w:rsidR="00005FE7" w:rsidRPr="009523E6" w:rsidRDefault="00005FE7" w:rsidP="00F038AA"/>
    <w:p w:rsidR="005D32D0" w:rsidRDefault="005D32D0" w:rsidP="005D32D0">
      <w:pPr>
        <w:pStyle w:val="Nadpis4"/>
      </w:pPr>
      <w:r>
        <w:t xml:space="preserve"> </w:t>
      </w:r>
      <w:bookmarkStart w:id="46" w:name="_Toc10212859"/>
      <w:r>
        <w:t>Konečná úprava vrtů</w:t>
      </w:r>
      <w:bookmarkEnd w:id="46"/>
    </w:p>
    <w:p w:rsidR="005D32D0" w:rsidRPr="005D32D0" w:rsidRDefault="005D32D0" w:rsidP="005D32D0">
      <w:r>
        <w:t>Bude provedeno odstranění potrubí</w:t>
      </w:r>
      <w:r w:rsidR="002246A1">
        <w:t xml:space="preserve"> pro provádění injektáže a injekční směsi na výšku cca 0,50m. Otvor po vrtu (</w:t>
      </w:r>
      <w:proofErr w:type="spellStart"/>
      <w:r w:rsidR="002246A1">
        <w:t>zhlaví</w:t>
      </w:r>
      <w:proofErr w:type="spellEnd"/>
      <w:r w:rsidR="002246A1">
        <w:t xml:space="preserve"> vrtu) bude zalitý betonem.</w:t>
      </w:r>
    </w:p>
    <w:p w:rsidR="002246A1" w:rsidRDefault="002246A1">
      <w:pPr>
        <w:spacing w:after="0"/>
        <w:jc w:val="left"/>
        <w:rPr>
          <w:b/>
        </w:rPr>
      </w:pPr>
    </w:p>
    <w:p w:rsidR="009523E6" w:rsidRPr="009523E6" w:rsidRDefault="009523E6" w:rsidP="009523E6">
      <w:pPr>
        <w:pStyle w:val="Nadpis4"/>
      </w:pPr>
      <w:r>
        <w:t xml:space="preserve"> </w:t>
      </w:r>
      <w:bookmarkStart w:id="47" w:name="_Toc10212860"/>
      <w:proofErr w:type="spellStart"/>
      <w:r w:rsidRPr="009523E6">
        <w:t>Jílocementová</w:t>
      </w:r>
      <w:proofErr w:type="spellEnd"/>
      <w:r w:rsidRPr="009523E6">
        <w:t xml:space="preserve"> směs pro vrtný výplach a následnou injektáž</w:t>
      </w:r>
      <w:bookmarkEnd w:id="47"/>
      <w:r w:rsidRPr="009523E6">
        <w:t xml:space="preserve"> </w:t>
      </w:r>
    </w:p>
    <w:p w:rsidR="009523E6" w:rsidRDefault="009523E6" w:rsidP="009523E6">
      <w:r>
        <w:t xml:space="preserve">Pro vrtný výplach a následnou injektáž bude použita stabilizovaná </w:t>
      </w:r>
      <w:proofErr w:type="spellStart"/>
      <w:r>
        <w:t>jílocementová</w:t>
      </w:r>
      <w:proofErr w:type="spellEnd"/>
      <w:r>
        <w:t xml:space="preserve"> injekční směs o následujících parametrech: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"/>
        <w:gridCol w:w="633"/>
        <w:gridCol w:w="552"/>
        <w:gridCol w:w="634"/>
        <w:gridCol w:w="1586"/>
        <w:gridCol w:w="1501"/>
        <w:gridCol w:w="570"/>
        <w:gridCol w:w="570"/>
        <w:gridCol w:w="712"/>
        <w:gridCol w:w="708"/>
        <w:gridCol w:w="851"/>
      </w:tblGrid>
      <w:tr w:rsidR="009523E6" w:rsidTr="009523E6">
        <w:tc>
          <w:tcPr>
            <w:tcW w:w="9351" w:type="dxa"/>
            <w:gridSpan w:val="11"/>
            <w:shd w:val="clear" w:color="auto" w:fill="E0E0E0"/>
          </w:tcPr>
          <w:p w:rsidR="009523E6" w:rsidRPr="0034642A" w:rsidRDefault="009523E6" w:rsidP="0034642A">
            <w:pPr>
              <w:rPr>
                <w:b/>
              </w:rPr>
            </w:pPr>
            <w:r w:rsidRPr="0034642A">
              <w:rPr>
                <w:b/>
              </w:rPr>
              <w:t>injekční směs (zálivka, clona)</w:t>
            </w:r>
          </w:p>
        </w:tc>
      </w:tr>
      <w:tr w:rsidR="009523E6" w:rsidTr="009523E6">
        <w:trPr>
          <w:cantSplit/>
        </w:trPr>
        <w:tc>
          <w:tcPr>
            <w:tcW w:w="1034" w:type="dxa"/>
            <w:vMerge w:val="restart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</w:p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Poměr</w:t>
            </w:r>
          </w:p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C/V</w:t>
            </w:r>
          </w:p>
        </w:tc>
        <w:tc>
          <w:tcPr>
            <w:tcW w:w="1819" w:type="dxa"/>
            <w:gridSpan w:val="3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</w:p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 xml:space="preserve">složení 1 </w:t>
            </w:r>
            <w:r>
              <w:rPr>
                <w:b/>
                <w:bCs/>
              </w:rPr>
              <w:t>m</w:t>
            </w:r>
            <w:r>
              <w:rPr>
                <w:b/>
                <w:bCs/>
                <w:caps/>
                <w:vertAlign w:val="superscript"/>
              </w:rPr>
              <w:t>3</w:t>
            </w:r>
          </w:p>
        </w:tc>
        <w:tc>
          <w:tcPr>
            <w:tcW w:w="1586" w:type="dxa"/>
            <w:vMerge w:val="restart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</w:p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objemová</w:t>
            </w:r>
          </w:p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hmotnost</w:t>
            </w:r>
          </w:p>
        </w:tc>
        <w:tc>
          <w:tcPr>
            <w:tcW w:w="1501" w:type="dxa"/>
            <w:vMerge w:val="restart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</w:p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Viskozita</w:t>
            </w:r>
          </w:p>
        </w:tc>
        <w:tc>
          <w:tcPr>
            <w:tcW w:w="1852" w:type="dxa"/>
            <w:gridSpan w:val="3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</w:p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dekantace</w:t>
            </w:r>
          </w:p>
        </w:tc>
        <w:tc>
          <w:tcPr>
            <w:tcW w:w="1559" w:type="dxa"/>
            <w:gridSpan w:val="2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pevnost v tlaku</w:t>
            </w:r>
          </w:p>
        </w:tc>
      </w:tr>
      <w:tr w:rsidR="009523E6" w:rsidTr="009523E6">
        <w:trPr>
          <w:cantSplit/>
        </w:trPr>
        <w:tc>
          <w:tcPr>
            <w:tcW w:w="0" w:type="auto"/>
            <w:vMerge/>
            <w:shd w:val="clear" w:color="auto" w:fill="E0E0E0"/>
            <w:vAlign w:val="center"/>
          </w:tcPr>
          <w:p w:rsidR="009523E6" w:rsidRDefault="009523E6" w:rsidP="00F942E5">
            <w:pPr>
              <w:rPr>
                <w:b/>
                <w:bCs/>
                <w:caps/>
              </w:rPr>
            </w:pPr>
          </w:p>
        </w:tc>
        <w:tc>
          <w:tcPr>
            <w:tcW w:w="633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552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634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0" w:type="auto"/>
            <w:vMerge/>
            <w:shd w:val="clear" w:color="auto" w:fill="E0E0E0"/>
            <w:vAlign w:val="center"/>
          </w:tcPr>
          <w:p w:rsidR="009523E6" w:rsidRDefault="009523E6" w:rsidP="00F942E5">
            <w:pPr>
              <w:rPr>
                <w:b/>
                <w:bCs/>
                <w:caps/>
              </w:rPr>
            </w:pPr>
          </w:p>
        </w:tc>
        <w:tc>
          <w:tcPr>
            <w:tcW w:w="0" w:type="auto"/>
            <w:vMerge/>
            <w:shd w:val="clear" w:color="auto" w:fill="E0E0E0"/>
            <w:vAlign w:val="center"/>
          </w:tcPr>
          <w:p w:rsidR="009523E6" w:rsidRDefault="009523E6" w:rsidP="00F942E5">
            <w:pPr>
              <w:rPr>
                <w:b/>
                <w:bCs/>
                <w:caps/>
              </w:rPr>
            </w:pPr>
          </w:p>
        </w:tc>
        <w:tc>
          <w:tcPr>
            <w:tcW w:w="1852" w:type="dxa"/>
            <w:gridSpan w:val="3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% </w:t>
            </w:r>
            <w:proofErr w:type="spellStart"/>
            <w:r>
              <w:rPr>
                <w:b/>
                <w:bCs/>
              </w:rPr>
              <w:t>obj</w:t>
            </w:r>
            <w:proofErr w:type="spellEnd"/>
            <w:r>
              <w:rPr>
                <w:b/>
                <w:bCs/>
              </w:rPr>
              <w:t>./hod</w:t>
            </w:r>
          </w:p>
        </w:tc>
        <w:tc>
          <w:tcPr>
            <w:tcW w:w="708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1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</w:tr>
      <w:tr w:rsidR="009523E6" w:rsidTr="009523E6">
        <w:trPr>
          <w:cantSplit/>
        </w:trPr>
        <w:tc>
          <w:tcPr>
            <w:tcW w:w="0" w:type="auto"/>
            <w:vMerge/>
            <w:shd w:val="clear" w:color="auto" w:fill="E0E0E0"/>
            <w:vAlign w:val="center"/>
          </w:tcPr>
          <w:p w:rsidR="009523E6" w:rsidRDefault="009523E6" w:rsidP="00F942E5">
            <w:pPr>
              <w:rPr>
                <w:b/>
                <w:bCs/>
                <w:caps/>
              </w:rPr>
            </w:pPr>
          </w:p>
        </w:tc>
        <w:tc>
          <w:tcPr>
            <w:tcW w:w="633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kg</w:t>
            </w:r>
          </w:p>
        </w:tc>
        <w:tc>
          <w:tcPr>
            <w:tcW w:w="552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kg</w:t>
            </w:r>
          </w:p>
        </w:tc>
        <w:tc>
          <w:tcPr>
            <w:tcW w:w="634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</w:t>
            </w:r>
          </w:p>
        </w:tc>
        <w:tc>
          <w:tcPr>
            <w:tcW w:w="1586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kg/l</w:t>
            </w:r>
          </w:p>
        </w:tc>
        <w:tc>
          <w:tcPr>
            <w:tcW w:w="1501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</w:t>
            </w:r>
          </w:p>
        </w:tc>
        <w:tc>
          <w:tcPr>
            <w:tcW w:w="570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570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712" w:type="dxa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559" w:type="dxa"/>
            <w:gridSpan w:val="2"/>
            <w:shd w:val="clear" w:color="auto" w:fill="E0E0E0"/>
          </w:tcPr>
          <w:p w:rsidR="009523E6" w:rsidRDefault="009523E6" w:rsidP="00F942E5">
            <w:pPr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MPa</w:t>
            </w:r>
            <w:proofErr w:type="spellEnd"/>
          </w:p>
        </w:tc>
      </w:tr>
      <w:tr w:rsidR="009523E6" w:rsidTr="009523E6">
        <w:tc>
          <w:tcPr>
            <w:tcW w:w="1034" w:type="dxa"/>
          </w:tcPr>
          <w:p w:rsidR="009523E6" w:rsidRDefault="009523E6" w:rsidP="00F942E5">
            <w:pPr>
              <w:jc w:val="center"/>
            </w:pPr>
            <w:r>
              <w:t>0.6</w:t>
            </w:r>
          </w:p>
        </w:tc>
        <w:tc>
          <w:tcPr>
            <w:tcW w:w="633" w:type="dxa"/>
          </w:tcPr>
          <w:p w:rsidR="009523E6" w:rsidRDefault="009523E6" w:rsidP="00F942E5">
            <w:pPr>
              <w:jc w:val="center"/>
            </w:pPr>
            <w:r>
              <w:t>510</w:t>
            </w:r>
          </w:p>
        </w:tc>
        <w:tc>
          <w:tcPr>
            <w:tcW w:w="552" w:type="dxa"/>
          </w:tcPr>
          <w:p w:rsidR="009523E6" w:rsidRDefault="009523E6" w:rsidP="00F942E5">
            <w:pPr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9523E6" w:rsidRDefault="009523E6" w:rsidP="00F942E5">
            <w:pPr>
              <w:jc w:val="center"/>
            </w:pPr>
            <w:r>
              <w:t>830</w:t>
            </w:r>
          </w:p>
        </w:tc>
        <w:tc>
          <w:tcPr>
            <w:tcW w:w="1586" w:type="dxa"/>
          </w:tcPr>
          <w:p w:rsidR="009523E6" w:rsidRDefault="009523E6" w:rsidP="00F942E5">
            <w:pPr>
              <w:jc w:val="center"/>
            </w:pPr>
            <w:r>
              <w:t>1.36</w:t>
            </w:r>
          </w:p>
        </w:tc>
        <w:tc>
          <w:tcPr>
            <w:tcW w:w="1501" w:type="dxa"/>
          </w:tcPr>
          <w:p w:rsidR="009523E6" w:rsidRDefault="009523E6" w:rsidP="00F942E5">
            <w:pPr>
              <w:jc w:val="center"/>
            </w:pPr>
            <w:r>
              <w:t>35</w:t>
            </w:r>
          </w:p>
        </w:tc>
        <w:tc>
          <w:tcPr>
            <w:tcW w:w="570" w:type="dxa"/>
          </w:tcPr>
          <w:p w:rsidR="009523E6" w:rsidRDefault="009523E6" w:rsidP="00F942E5">
            <w:pPr>
              <w:jc w:val="center"/>
            </w:pPr>
            <w:r>
              <w:t>1</w:t>
            </w:r>
          </w:p>
        </w:tc>
        <w:tc>
          <w:tcPr>
            <w:tcW w:w="570" w:type="dxa"/>
          </w:tcPr>
          <w:p w:rsidR="009523E6" w:rsidRDefault="009523E6" w:rsidP="00F942E5">
            <w:pPr>
              <w:jc w:val="center"/>
            </w:pPr>
            <w:r>
              <w:t>2</w:t>
            </w:r>
          </w:p>
        </w:tc>
        <w:tc>
          <w:tcPr>
            <w:tcW w:w="712" w:type="dxa"/>
          </w:tcPr>
          <w:p w:rsidR="009523E6" w:rsidRDefault="009523E6" w:rsidP="00F942E5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9523E6" w:rsidRDefault="009523E6" w:rsidP="00F942E5">
            <w:pPr>
              <w:jc w:val="center"/>
            </w:pPr>
            <w:r>
              <w:t>1.4</w:t>
            </w:r>
          </w:p>
        </w:tc>
        <w:tc>
          <w:tcPr>
            <w:tcW w:w="851" w:type="dxa"/>
          </w:tcPr>
          <w:p w:rsidR="009523E6" w:rsidRDefault="009523E6" w:rsidP="00F942E5">
            <w:pPr>
              <w:jc w:val="center"/>
            </w:pPr>
            <w:r>
              <w:t>3.3</w:t>
            </w:r>
          </w:p>
        </w:tc>
      </w:tr>
    </w:tbl>
    <w:p w:rsidR="004950C4" w:rsidRDefault="004950C4" w:rsidP="004950C4"/>
    <w:p w:rsidR="009523E6" w:rsidRDefault="009523E6" w:rsidP="004950C4">
      <w:r>
        <w:t xml:space="preserve">Pro výrobu </w:t>
      </w:r>
      <w:proofErr w:type="spellStart"/>
      <w:r>
        <w:t>jílocementové</w:t>
      </w:r>
      <w:proofErr w:type="spellEnd"/>
      <w:r>
        <w:t xml:space="preserve"> směsi pro injektáž i výplach bude použit cement CEM II 32.5 R. Směs bude míchána v rychloběžné aktivační míchačce. Po namíchání směs musí vykazovat předepsanou objemovou hmotnost, viskozitu a </w:t>
      </w:r>
      <w:proofErr w:type="spellStart"/>
      <w:r>
        <w:t>odstoj</w:t>
      </w:r>
      <w:proofErr w:type="spellEnd"/>
      <w:r>
        <w:t xml:space="preserve">. </w:t>
      </w:r>
    </w:p>
    <w:p w:rsidR="00C67748" w:rsidRDefault="00C67748" w:rsidP="004950C4"/>
    <w:p w:rsidR="00D96E7A" w:rsidRPr="00D96E7A" w:rsidRDefault="00D96E7A" w:rsidP="00D96E7A">
      <w:pPr>
        <w:pStyle w:val="Nadpis4"/>
      </w:pPr>
      <w:r>
        <w:t xml:space="preserve"> </w:t>
      </w:r>
      <w:bookmarkStart w:id="48" w:name="_Toc10212861"/>
      <w:r w:rsidRPr="00D96E7A">
        <w:t>Dovolené odchylky jednotlivých parametrů</w:t>
      </w:r>
      <w:bookmarkEnd w:id="48"/>
    </w:p>
    <w:p w:rsidR="00D96E7A" w:rsidRPr="00D96E7A" w:rsidRDefault="00D96E7A" w:rsidP="00D96E7A">
      <w:pPr>
        <w:tabs>
          <w:tab w:val="left" w:pos="708"/>
          <w:tab w:val="center" w:pos="4536"/>
          <w:tab w:val="right" w:pos="9072"/>
        </w:tabs>
        <w:spacing w:after="0"/>
        <w:rPr>
          <w:rFonts w:ascii="Arial" w:hAnsi="Arial"/>
          <w:bCs/>
          <w:lang w:eastAsia="en-US"/>
        </w:rPr>
      </w:pPr>
    </w:p>
    <w:p w:rsidR="00D96E7A" w:rsidRPr="00D96E7A" w:rsidRDefault="00D96E7A" w:rsidP="00D96E7A">
      <w:r w:rsidRPr="00D96E7A">
        <w:t>Půdorysné umístění vrtu ve směru podélné osy</w:t>
      </w:r>
      <w:r w:rsidRPr="00D96E7A">
        <w:tab/>
        <w:t xml:space="preserve">       ± 150 mm</w:t>
      </w:r>
    </w:p>
    <w:p w:rsidR="00D96E7A" w:rsidRPr="00D96E7A" w:rsidRDefault="00D96E7A" w:rsidP="00D96E7A">
      <w:r w:rsidRPr="00D96E7A">
        <w:t xml:space="preserve">Půdorysné umístění vrtů ve směru kolmém na podélnou </w:t>
      </w:r>
      <w:proofErr w:type="gramStart"/>
      <w:r w:rsidRPr="00D96E7A">
        <w:t>osu       ± 150</w:t>
      </w:r>
      <w:proofErr w:type="gramEnd"/>
      <w:r w:rsidRPr="00D96E7A">
        <w:t xml:space="preserve"> mm </w:t>
      </w:r>
    </w:p>
    <w:p w:rsidR="00C67748" w:rsidRDefault="00D96E7A" w:rsidP="00D96E7A">
      <w:r w:rsidRPr="00D96E7A">
        <w:t>Hloubka vrtu</w:t>
      </w:r>
      <w:r w:rsidRPr="00D96E7A">
        <w:tab/>
        <w:t xml:space="preserve">                                                   </w:t>
      </w:r>
      <w:r w:rsidR="00C67748">
        <w:t xml:space="preserve">                            </w:t>
      </w:r>
      <w:r w:rsidRPr="00D96E7A">
        <w:t>+ 100 mm</w:t>
      </w:r>
      <w:r w:rsidR="00C67748">
        <w:t xml:space="preserve"> </w:t>
      </w:r>
    </w:p>
    <w:p w:rsidR="00D96E7A" w:rsidRPr="00D96E7A" w:rsidRDefault="00C67748" w:rsidP="00D96E7A">
      <w:r>
        <w:t xml:space="preserve">                                                           (1,0 m pod zachycenou skalní podloží)</w:t>
      </w:r>
    </w:p>
    <w:p w:rsidR="00D96E7A" w:rsidRPr="00D96E7A" w:rsidRDefault="00D96E7A" w:rsidP="00D96E7A">
      <w:r w:rsidRPr="00D96E7A">
        <w:t>Sklon vrtu</w:t>
      </w:r>
      <w:r w:rsidRPr="00D96E7A">
        <w:tab/>
        <w:t xml:space="preserve">                                                                               </w:t>
      </w:r>
      <w:r w:rsidRPr="00D96E7A">
        <w:sym w:font="Symbol" w:char="00B1"/>
      </w:r>
      <w:r w:rsidRPr="00D96E7A">
        <w:t xml:space="preserve"> 1.5</w:t>
      </w:r>
      <w:r w:rsidRPr="00D96E7A">
        <w:sym w:font="Symbol" w:char="00B0"/>
      </w:r>
    </w:p>
    <w:p w:rsidR="00D96E7A" w:rsidRPr="00D96E7A" w:rsidRDefault="00D96E7A" w:rsidP="00D96E7A">
      <w:r w:rsidRPr="00D96E7A">
        <w:t xml:space="preserve">Objemová hmotnost zálivkové a </w:t>
      </w:r>
      <w:proofErr w:type="spellStart"/>
      <w:r w:rsidRPr="00D96E7A">
        <w:t>inj</w:t>
      </w:r>
      <w:proofErr w:type="spellEnd"/>
      <w:r w:rsidRPr="00D96E7A">
        <w:t xml:space="preserve">. směsi     </w:t>
      </w:r>
      <w:r w:rsidR="00C67748">
        <w:t xml:space="preserve">                              </w:t>
      </w:r>
      <w:r w:rsidRPr="00D96E7A">
        <w:t>- 5 %</w:t>
      </w:r>
    </w:p>
    <w:p w:rsidR="00D96E7A" w:rsidRPr="00D96E7A" w:rsidRDefault="00D96E7A" w:rsidP="00D96E7A">
      <w:r w:rsidRPr="00D96E7A">
        <w:t xml:space="preserve">Injekční tlaky                                                  </w:t>
      </w:r>
      <w:r w:rsidR="00C67748">
        <w:t xml:space="preserve">                               </w:t>
      </w:r>
      <w:r w:rsidRPr="00D96E7A">
        <w:sym w:font="Symbol" w:char="00B1"/>
      </w:r>
      <w:r w:rsidRPr="00D96E7A">
        <w:t xml:space="preserve"> 2.5 %</w:t>
      </w:r>
    </w:p>
    <w:p w:rsidR="00D96E7A" w:rsidRPr="00D96E7A" w:rsidRDefault="00D96E7A" w:rsidP="00D96E7A">
      <w:r w:rsidRPr="00D96E7A">
        <w:t xml:space="preserve">Spotřeba injekční směsi                                                                 </w:t>
      </w:r>
      <w:r w:rsidRPr="00D96E7A">
        <w:sym w:font="Symbol" w:char="00B1"/>
      </w:r>
      <w:r w:rsidRPr="00D96E7A">
        <w:t xml:space="preserve"> 5 l</w:t>
      </w:r>
    </w:p>
    <w:p w:rsidR="00D96E7A" w:rsidRPr="00D96E7A" w:rsidRDefault="00D96E7A" w:rsidP="00D96E7A">
      <w:pPr>
        <w:spacing w:after="0"/>
        <w:rPr>
          <w:rFonts w:ascii="Arial" w:hAnsi="Arial"/>
          <w:bCs/>
          <w:lang w:eastAsia="en-US"/>
        </w:rPr>
      </w:pPr>
    </w:p>
    <w:p w:rsidR="00D96E7A" w:rsidRPr="00D96E7A" w:rsidRDefault="00D96E7A" w:rsidP="00D96E7A">
      <w:pPr>
        <w:pStyle w:val="Nadpis4"/>
      </w:pPr>
      <w:r>
        <w:lastRenderedPageBreak/>
        <w:t xml:space="preserve"> </w:t>
      </w:r>
      <w:bookmarkStart w:id="49" w:name="_Toc10212862"/>
      <w:r w:rsidRPr="00D96E7A">
        <w:t>Kontroly a zkoušky při realizaci výplňové injektáže</w:t>
      </w:r>
      <w:bookmarkEnd w:id="49"/>
    </w:p>
    <w:p w:rsidR="00C67748" w:rsidRDefault="00D96E7A" w:rsidP="00C67748">
      <w:r w:rsidRPr="00D96E7A">
        <w:t>Výplacho</w:t>
      </w:r>
      <w:r w:rsidR="00C67748">
        <w:t>vá a injekční JC směs – měří se</w:t>
      </w:r>
      <w:r w:rsidRPr="00D96E7A">
        <w:t>:</w:t>
      </w:r>
    </w:p>
    <w:p w:rsidR="00C67748" w:rsidRDefault="00D96E7A" w:rsidP="00C67748">
      <w:pPr>
        <w:pStyle w:val="Odstavecseseznamem"/>
        <w:numPr>
          <w:ilvl w:val="0"/>
          <w:numId w:val="25"/>
        </w:numPr>
      </w:pPr>
      <w:r w:rsidRPr="00D96E7A">
        <w:t>Objemová h</w:t>
      </w:r>
      <w:r w:rsidR="00C67748">
        <w:t xml:space="preserve">motnost – 1x z každé </w:t>
      </w:r>
      <w:proofErr w:type="spellStart"/>
      <w:r w:rsidR="00C67748">
        <w:t>záměsi</w:t>
      </w:r>
      <w:proofErr w:type="spellEnd"/>
      <w:r w:rsidR="00C67748">
        <w:t xml:space="preserve"> na </w:t>
      </w:r>
      <w:proofErr w:type="gramStart"/>
      <w:r w:rsidR="00C67748">
        <w:t>vzorku</w:t>
      </w:r>
      <w:r w:rsidRPr="00D96E7A">
        <w:t xml:space="preserve">  z rozplavovače</w:t>
      </w:r>
      <w:proofErr w:type="gramEnd"/>
      <w:r w:rsidRPr="00D96E7A">
        <w:t>.</w:t>
      </w:r>
    </w:p>
    <w:p w:rsidR="00C67748" w:rsidRDefault="00D96E7A" w:rsidP="00C67748">
      <w:pPr>
        <w:pStyle w:val="Odstavecseseznamem"/>
        <w:numPr>
          <w:ilvl w:val="0"/>
          <w:numId w:val="25"/>
        </w:numPr>
      </w:pPr>
      <w:r w:rsidRPr="00D96E7A">
        <w:t>Dekantace – 1x za směnu.</w:t>
      </w:r>
    </w:p>
    <w:p w:rsidR="00C67748" w:rsidRDefault="00D96E7A" w:rsidP="00C67748">
      <w:pPr>
        <w:pStyle w:val="Odstavecseseznamem"/>
        <w:numPr>
          <w:ilvl w:val="0"/>
          <w:numId w:val="25"/>
        </w:numPr>
      </w:pPr>
      <w:r w:rsidRPr="00D96E7A">
        <w:t xml:space="preserve">Pevnost – 1x sada 3 vzorků za týden na vzorcích </w:t>
      </w:r>
      <w:r w:rsidRPr="00D96E7A">
        <w:sym w:font="Symbol" w:char="00C6"/>
      </w:r>
      <w:r w:rsidRPr="00D96E7A">
        <w:t xml:space="preserve"> 50 mm.</w:t>
      </w:r>
    </w:p>
    <w:p w:rsidR="00D96E7A" w:rsidRPr="00D96E7A" w:rsidRDefault="00D96E7A" w:rsidP="00C67748">
      <w:pPr>
        <w:pStyle w:val="Odstavecseseznamem"/>
        <w:numPr>
          <w:ilvl w:val="0"/>
          <w:numId w:val="25"/>
        </w:numPr>
      </w:pPr>
      <w:r w:rsidRPr="00D96E7A">
        <w:t>Viskozita</w:t>
      </w:r>
      <w:r w:rsidR="00C67748">
        <w:t xml:space="preserve"> – 1x z každé </w:t>
      </w:r>
      <w:proofErr w:type="spellStart"/>
      <w:r w:rsidR="00C67748">
        <w:t>záměsi</w:t>
      </w:r>
      <w:proofErr w:type="spellEnd"/>
      <w:r w:rsidR="00C67748">
        <w:t xml:space="preserve"> na vzorku </w:t>
      </w:r>
      <w:r w:rsidRPr="00D96E7A">
        <w:t>z rozplavovače.</w:t>
      </w:r>
    </w:p>
    <w:p w:rsidR="00530AE2" w:rsidRPr="00530AE2" w:rsidRDefault="00530AE2" w:rsidP="00530AE2"/>
    <w:p w:rsidR="009B048E" w:rsidRPr="003C1E70" w:rsidRDefault="0094206F" w:rsidP="00D81663">
      <w:pPr>
        <w:pStyle w:val="Nadpis3"/>
      </w:pPr>
      <w:bookmarkStart w:id="50" w:name="_Toc10212863"/>
      <w:r>
        <w:t>B</w:t>
      </w:r>
      <w:r w:rsidR="00AB54EB">
        <w:t>etonové</w:t>
      </w:r>
      <w:r w:rsidR="005266B6" w:rsidRPr="003C1E70">
        <w:t xml:space="preserve"> konstrukce</w:t>
      </w:r>
      <w:bookmarkEnd w:id="50"/>
      <w:r w:rsidR="005266B6" w:rsidRPr="003C1E70">
        <w:t xml:space="preserve"> </w:t>
      </w:r>
    </w:p>
    <w:p w:rsidR="009B048E" w:rsidRDefault="00D8144D" w:rsidP="00246F6E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 xml:space="preserve">Zalití </w:t>
      </w:r>
      <w:proofErr w:type="spellStart"/>
      <w:r>
        <w:rPr>
          <w:color w:val="000000" w:themeColor="text1"/>
        </w:rPr>
        <w:t>zhlaví</w:t>
      </w:r>
      <w:proofErr w:type="spellEnd"/>
      <w:r>
        <w:rPr>
          <w:color w:val="000000" w:themeColor="text1"/>
        </w:rPr>
        <w:t xml:space="preserve"> vrtů</w:t>
      </w:r>
      <w:r w:rsidR="001742B1" w:rsidRPr="008E61C2">
        <w:rPr>
          <w:color w:val="000000" w:themeColor="text1"/>
        </w:rPr>
        <w:t xml:space="preserve">: </w:t>
      </w:r>
      <w:r w:rsidR="005266B6" w:rsidRPr="008E61C2">
        <w:rPr>
          <w:color w:val="000000" w:themeColor="text1"/>
        </w:rPr>
        <w:t>C</w:t>
      </w:r>
      <w:r w:rsidR="00AB54EB">
        <w:rPr>
          <w:color w:val="000000" w:themeColor="text1"/>
        </w:rPr>
        <w:t>25</w:t>
      </w:r>
      <w:r w:rsidR="007970AA" w:rsidRPr="008E61C2">
        <w:rPr>
          <w:color w:val="000000" w:themeColor="text1"/>
        </w:rPr>
        <w:t>/</w:t>
      </w:r>
      <w:r w:rsidR="005266B6" w:rsidRPr="008E61C2">
        <w:rPr>
          <w:color w:val="000000" w:themeColor="text1"/>
        </w:rPr>
        <w:t>3</w:t>
      </w:r>
      <w:r w:rsidR="00AB54EB">
        <w:rPr>
          <w:color w:val="000000" w:themeColor="text1"/>
        </w:rPr>
        <w:t>0</w:t>
      </w:r>
      <w:r w:rsidR="007970AA" w:rsidRPr="008E61C2">
        <w:rPr>
          <w:color w:val="000000" w:themeColor="text1"/>
        </w:rPr>
        <w:t xml:space="preserve"> XC</w:t>
      </w:r>
      <w:r w:rsidR="005266B6" w:rsidRPr="008E61C2">
        <w:rPr>
          <w:color w:val="000000" w:themeColor="text1"/>
        </w:rPr>
        <w:t xml:space="preserve">4, </w:t>
      </w:r>
      <w:r w:rsidR="00AB54EB">
        <w:rPr>
          <w:color w:val="000000" w:themeColor="text1"/>
        </w:rPr>
        <w:t>XA2</w:t>
      </w:r>
      <w:r w:rsidR="00D23AF8">
        <w:rPr>
          <w:color w:val="000000" w:themeColor="text1"/>
        </w:rPr>
        <w:t xml:space="preserve"> - Cl 0,40, </w:t>
      </w:r>
      <w:proofErr w:type="spellStart"/>
      <w:r w:rsidR="00D23AF8">
        <w:rPr>
          <w:color w:val="000000" w:themeColor="text1"/>
        </w:rPr>
        <w:t>D</w:t>
      </w:r>
      <w:r w:rsidR="00D23AF8" w:rsidRPr="00D23AF8">
        <w:rPr>
          <w:color w:val="000000" w:themeColor="text1"/>
          <w:vertAlign w:val="subscript"/>
        </w:rPr>
        <w:t>max</w:t>
      </w:r>
      <w:proofErr w:type="spellEnd"/>
      <w:r w:rsidR="00D23AF8">
        <w:rPr>
          <w:color w:val="000000" w:themeColor="text1"/>
        </w:rPr>
        <w:t xml:space="preserve"> </w:t>
      </w:r>
      <w:r>
        <w:rPr>
          <w:color w:val="000000" w:themeColor="text1"/>
        </w:rPr>
        <w:t>8</w:t>
      </w:r>
      <w:r w:rsidR="00D23AF8">
        <w:rPr>
          <w:color w:val="000000" w:themeColor="text1"/>
        </w:rPr>
        <w:t xml:space="preserve"> – S4,</w:t>
      </w:r>
    </w:p>
    <w:p w:rsidR="00F942E5" w:rsidRDefault="00F942E5" w:rsidP="00F942E5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 xml:space="preserve">Dobetonávka </w:t>
      </w:r>
      <w:proofErr w:type="spellStart"/>
      <w:r>
        <w:rPr>
          <w:color w:val="000000" w:themeColor="text1"/>
        </w:rPr>
        <w:t>zhlaví</w:t>
      </w:r>
      <w:proofErr w:type="spellEnd"/>
      <w:r>
        <w:rPr>
          <w:color w:val="000000" w:themeColor="text1"/>
        </w:rPr>
        <w:t xml:space="preserve"> pilíře</w:t>
      </w:r>
      <w:r w:rsidRPr="008E61C2">
        <w:rPr>
          <w:color w:val="000000" w:themeColor="text1"/>
        </w:rPr>
        <w:t>: C</w:t>
      </w:r>
      <w:r>
        <w:rPr>
          <w:color w:val="000000" w:themeColor="text1"/>
        </w:rPr>
        <w:t>30</w:t>
      </w:r>
      <w:r w:rsidRPr="008E61C2">
        <w:rPr>
          <w:color w:val="000000" w:themeColor="text1"/>
        </w:rPr>
        <w:t>/3</w:t>
      </w:r>
      <w:r>
        <w:rPr>
          <w:color w:val="000000" w:themeColor="text1"/>
        </w:rPr>
        <w:t>7</w:t>
      </w:r>
      <w:r w:rsidRPr="008E61C2">
        <w:rPr>
          <w:color w:val="000000" w:themeColor="text1"/>
        </w:rPr>
        <w:t xml:space="preserve"> XC4, </w:t>
      </w:r>
      <w:r>
        <w:rPr>
          <w:color w:val="000000" w:themeColor="text1"/>
        </w:rPr>
        <w:t xml:space="preserve">XF3 (XA1) - Cl 0,40, </w:t>
      </w:r>
      <w:proofErr w:type="spellStart"/>
      <w:r>
        <w:rPr>
          <w:color w:val="000000" w:themeColor="text1"/>
        </w:rPr>
        <w:t>D</w:t>
      </w:r>
      <w:r w:rsidRPr="00D23AF8">
        <w:rPr>
          <w:color w:val="000000" w:themeColor="text1"/>
          <w:vertAlign w:val="subscript"/>
        </w:rPr>
        <w:t>max</w:t>
      </w:r>
      <w:proofErr w:type="spellEnd"/>
      <w:r>
        <w:rPr>
          <w:color w:val="000000" w:themeColor="text1"/>
        </w:rPr>
        <w:t xml:space="preserve"> 16 – S4,</w:t>
      </w:r>
    </w:p>
    <w:p w:rsidR="00F942E5" w:rsidRDefault="00F942E5" w:rsidP="00F942E5">
      <w:pPr>
        <w:spacing w:after="160"/>
        <w:rPr>
          <w:b/>
        </w:rPr>
      </w:pPr>
      <w:bookmarkStart w:id="51" w:name="_Toc327344204"/>
    </w:p>
    <w:p w:rsidR="00F942E5" w:rsidRPr="00380675" w:rsidRDefault="00F942E5" w:rsidP="00F942E5">
      <w:pPr>
        <w:spacing w:after="160"/>
        <w:rPr>
          <w:b/>
        </w:rPr>
      </w:pPr>
      <w:r w:rsidRPr="00380675">
        <w:rPr>
          <w:b/>
        </w:rPr>
        <w:t>Betonářsk</w:t>
      </w:r>
      <w:r w:rsidR="007C25AC">
        <w:rPr>
          <w:b/>
        </w:rPr>
        <w:t>á</w:t>
      </w:r>
      <w:r w:rsidRPr="00380675">
        <w:rPr>
          <w:b/>
        </w:rPr>
        <w:t xml:space="preserve"> výztuž</w:t>
      </w:r>
      <w:bookmarkEnd w:id="51"/>
    </w:p>
    <w:p w:rsidR="00F942E5" w:rsidRPr="00897A78" w:rsidRDefault="00F942E5" w:rsidP="00F942E5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 w:rsidRPr="00897A78">
        <w:rPr>
          <w:color w:val="000000" w:themeColor="text1"/>
        </w:rPr>
        <w:t>B 500B (</w:t>
      </w:r>
      <w:proofErr w:type="gramStart"/>
      <w:r w:rsidRPr="00897A78">
        <w:rPr>
          <w:color w:val="000000" w:themeColor="text1"/>
        </w:rPr>
        <w:t>ČSN  42 0139</w:t>
      </w:r>
      <w:proofErr w:type="gramEnd"/>
      <w:r w:rsidRPr="00897A78">
        <w:rPr>
          <w:color w:val="000000" w:themeColor="text1"/>
        </w:rPr>
        <w:t>), odpovídá R 10 505 (ČSN 73 6206)</w:t>
      </w:r>
    </w:p>
    <w:p w:rsidR="00F942E5" w:rsidRPr="00897A78" w:rsidRDefault="00F942E5" w:rsidP="00F942E5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 w:rsidRPr="00897A78">
        <w:rPr>
          <w:color w:val="000000" w:themeColor="text1"/>
        </w:rPr>
        <w:t xml:space="preserve">B500A </w:t>
      </w:r>
    </w:p>
    <w:p w:rsidR="00F942E5" w:rsidRDefault="00F942E5" w:rsidP="00F942E5">
      <w:pPr>
        <w:spacing w:after="160"/>
        <w:rPr>
          <w:b/>
        </w:rPr>
      </w:pPr>
      <w:bookmarkStart w:id="52" w:name="_Toc327344205"/>
    </w:p>
    <w:p w:rsidR="00F942E5" w:rsidRPr="00380675" w:rsidRDefault="00F942E5" w:rsidP="00F942E5">
      <w:pPr>
        <w:spacing w:after="160"/>
        <w:rPr>
          <w:b/>
        </w:rPr>
      </w:pPr>
      <w:r w:rsidRPr="00380675">
        <w:rPr>
          <w:b/>
        </w:rPr>
        <w:t>Krytí betonářské výztuže</w:t>
      </w:r>
      <w:bookmarkEnd w:id="52"/>
    </w:p>
    <w:p w:rsidR="00F942E5" w:rsidRPr="00390118" w:rsidRDefault="00F942E5" w:rsidP="00F942E5">
      <w:r>
        <w:t>Dle</w:t>
      </w:r>
      <w:r w:rsidRPr="00390118">
        <w:t xml:space="preserve"> ČSN EN 1992-2, 1991-1-1</w:t>
      </w:r>
    </w:p>
    <w:p w:rsidR="00F942E5" w:rsidRPr="00390118" w:rsidRDefault="00F942E5" w:rsidP="00F942E5">
      <w:proofErr w:type="spellStart"/>
      <w:r w:rsidRPr="00390118">
        <w:t>C</w:t>
      </w:r>
      <w:r w:rsidRPr="006A52C0">
        <w:rPr>
          <w:vertAlign w:val="subscript"/>
        </w:rPr>
        <w:t>nom</w:t>
      </w:r>
      <w:proofErr w:type="spellEnd"/>
      <w:r w:rsidRPr="00390118">
        <w:t>: 45 mm</w:t>
      </w:r>
    </w:p>
    <w:p w:rsidR="00F942E5" w:rsidRPr="00390118" w:rsidRDefault="00F942E5" w:rsidP="00F942E5">
      <w:proofErr w:type="spellStart"/>
      <w:r w:rsidRPr="00390118">
        <w:t>C</w:t>
      </w:r>
      <w:r w:rsidRPr="006A52C0">
        <w:rPr>
          <w:vertAlign w:val="subscript"/>
        </w:rPr>
        <w:t>min</w:t>
      </w:r>
      <w:proofErr w:type="spellEnd"/>
      <w:r w:rsidRPr="00390118">
        <w:t>: 35 mm</w:t>
      </w:r>
    </w:p>
    <w:p w:rsidR="00F942E5" w:rsidRPr="00897A78" w:rsidRDefault="00F942E5" w:rsidP="00F942E5">
      <w:pPr>
        <w:rPr>
          <w:color w:val="000000" w:themeColor="text1"/>
        </w:rPr>
      </w:pPr>
    </w:p>
    <w:p w:rsidR="00F942E5" w:rsidRPr="00271BB4" w:rsidRDefault="00F942E5" w:rsidP="00F942E5">
      <w:pPr>
        <w:spacing w:after="160"/>
        <w:rPr>
          <w:b/>
        </w:rPr>
      </w:pPr>
      <w:bookmarkStart w:id="53" w:name="_Toc3883034"/>
      <w:r w:rsidRPr="00271BB4">
        <w:rPr>
          <w:b/>
        </w:rPr>
        <w:t>Požadavky na konstrukce z</w:t>
      </w:r>
      <w:r>
        <w:rPr>
          <w:b/>
        </w:rPr>
        <w:t> </w:t>
      </w:r>
      <w:r w:rsidRPr="00271BB4">
        <w:rPr>
          <w:b/>
        </w:rPr>
        <w:t>betonu</w:t>
      </w:r>
      <w:bookmarkEnd w:id="53"/>
      <w:r>
        <w:rPr>
          <w:b/>
        </w:rPr>
        <w:t>:</w:t>
      </w:r>
    </w:p>
    <w:p w:rsidR="00F942E5" w:rsidRPr="005D1E41" w:rsidRDefault="00F942E5" w:rsidP="00F942E5">
      <w:pPr>
        <w:rPr>
          <w:color w:val="000000" w:themeColor="text1"/>
        </w:rPr>
      </w:pPr>
      <w:r w:rsidRPr="005D1E41">
        <w:rPr>
          <w:color w:val="000000" w:themeColor="text1"/>
        </w:rPr>
        <w:t>Zvolené množství cementu a přísad musí zaručovat při odpovídající teplotě čerstvého betonu požadovanou pevnost při odbednění a dodržení požadovaných parametrů.</w:t>
      </w:r>
    </w:p>
    <w:p w:rsidR="00F942E5" w:rsidRPr="005D1E41" w:rsidRDefault="00F942E5" w:rsidP="00F942E5">
      <w:pPr>
        <w:rPr>
          <w:color w:val="000000" w:themeColor="text1"/>
        </w:rPr>
      </w:pPr>
      <w:r w:rsidRPr="005D1E41">
        <w:rPr>
          <w:color w:val="000000" w:themeColor="text1"/>
        </w:rPr>
        <w:t>Složení betonové směsi bude dokladováno.</w:t>
      </w:r>
    </w:p>
    <w:p w:rsidR="00F942E5" w:rsidRPr="005D1E41" w:rsidRDefault="00F942E5" w:rsidP="00F942E5">
      <w:pPr>
        <w:rPr>
          <w:color w:val="000000" w:themeColor="text1"/>
        </w:rPr>
      </w:pPr>
      <w:r w:rsidRPr="005D1E41">
        <w:rPr>
          <w:color w:val="000000" w:themeColor="text1"/>
        </w:rPr>
        <w:t>Projektant doporučuje optimální teplotu čerstvého betonu (tj. teplota betonové směsi v době ukládání do bednění) v rozmezí 13 °C až 18 °C. Při teplotách pod 10 °C se velmi výrazně zpomaluje nárůst pevnosti. Při teplotách vyšších než 25 °C je větší náchylnost k tvorbě trhlin. Pro ukládání betonu při teplotách čerstvého betonu pod 10°C a nad 25 °C zpracuje dodavatel zvláštní technologický postup pro zamezení nežádoucích účinků. Ukládání čerstvého betonu s teplotou pod 5 °C a nad 30 °C je nepřípustné!</w:t>
      </w:r>
    </w:p>
    <w:p w:rsidR="00F942E5" w:rsidRDefault="00F942E5" w:rsidP="00F942E5">
      <w:pPr>
        <w:spacing w:after="160"/>
        <w:rPr>
          <w:b/>
        </w:rPr>
      </w:pPr>
      <w:bookmarkStart w:id="54" w:name="_Toc454810647"/>
      <w:bookmarkStart w:id="55" w:name="_Toc517176037"/>
      <w:bookmarkStart w:id="56" w:name="_Toc3883035"/>
    </w:p>
    <w:p w:rsidR="00F942E5" w:rsidRPr="00271BB4" w:rsidRDefault="00F942E5" w:rsidP="00F942E5">
      <w:pPr>
        <w:spacing w:after="160"/>
        <w:rPr>
          <w:b/>
        </w:rPr>
      </w:pPr>
      <w:r w:rsidRPr="00271BB4">
        <w:rPr>
          <w:b/>
        </w:rPr>
        <w:t>Požadavky na provádění betonáže</w:t>
      </w:r>
      <w:bookmarkEnd w:id="54"/>
      <w:bookmarkEnd w:id="55"/>
      <w:bookmarkEnd w:id="56"/>
      <w:r>
        <w:rPr>
          <w:b/>
        </w:rPr>
        <w:t>:</w:t>
      </w:r>
    </w:p>
    <w:p w:rsidR="00F942E5" w:rsidRDefault="00F942E5" w:rsidP="00F942E5">
      <w:pPr>
        <w:spacing w:after="160"/>
      </w:pPr>
      <w:r>
        <w:t>Betonáž bude prováděna do zapaženého výkopu. Pažení bude před začátkem prací vytaženo. Použití bednění se nepředpokládá. Konstrukce prahu zalije v krajích opevnění dna v podjezí.</w:t>
      </w:r>
    </w:p>
    <w:p w:rsidR="00F942E5" w:rsidRPr="00DF02E8" w:rsidRDefault="00F942E5" w:rsidP="00F942E5">
      <w:pPr>
        <w:spacing w:after="160"/>
      </w:pPr>
      <w:r w:rsidRPr="00DF02E8">
        <w:t>Případné pracovní spáry musí být řádně očištěny a upraveny před dalším pokračováním betonáže. Hutnění betonu musí být prováděno ponornými vibrátory</w:t>
      </w:r>
      <w:r>
        <w:t>.</w:t>
      </w:r>
      <w:r w:rsidRPr="00DF02E8">
        <w:t xml:space="preserve">   </w:t>
      </w:r>
    </w:p>
    <w:p w:rsidR="00F942E5" w:rsidRPr="00DF02E8" w:rsidRDefault="00F942E5" w:rsidP="00F942E5">
      <w:pPr>
        <w:spacing w:after="160"/>
      </w:pPr>
      <w:r w:rsidRPr="00DF02E8">
        <w:lastRenderedPageBreak/>
        <w:t>Vibrátory musí být dimenzovány tak, aby byl beton dokonale zhutněn v projektované tloušťce. Hloubka působení vibrátoru dosahuje 40 cm až max. 50 cm. Při vibrování se uvádí do provozu příložný vibrátor v oblasti aktuální výšky hladiny betonu v bednění.</w:t>
      </w:r>
    </w:p>
    <w:p w:rsidR="00F942E5" w:rsidRPr="00DF02E8" w:rsidRDefault="00F942E5" w:rsidP="00F942E5">
      <w:pPr>
        <w:spacing w:after="160"/>
      </w:pPr>
      <w:r w:rsidRPr="00DF02E8">
        <w:t>Aby se zamezilo vytvoření trhlin, je třeba okamžik odbednění co nejvíce oddálit. Předpokládá se doba uložení v bednění alespoň 2 dny – upřesní technolog betonárky.</w:t>
      </w:r>
    </w:p>
    <w:p w:rsidR="00F942E5" w:rsidRDefault="00F942E5" w:rsidP="00F942E5">
      <w:pPr>
        <w:spacing w:after="160"/>
      </w:pPr>
      <w:r w:rsidRPr="00DF02E8">
        <w:t xml:space="preserve">Betonáž musí být prováděna v souladu s ČSN EN 13670 a v souladu s ČSN EN </w:t>
      </w:r>
      <w:proofErr w:type="gramStart"/>
      <w:r w:rsidRPr="00DF02E8">
        <w:t>13670-opr</w:t>
      </w:r>
      <w:proofErr w:type="gramEnd"/>
      <w:r w:rsidRPr="00DF02E8">
        <w:t xml:space="preserve">.1 z 2011. Betonáž masivních konstrukcí je popsána v národní příloze NA12, </w:t>
      </w:r>
      <w:proofErr w:type="gramStart"/>
      <w:r w:rsidRPr="00DF02E8">
        <w:t>čl.8.4.6</w:t>
      </w:r>
      <w:proofErr w:type="gramEnd"/>
      <w:r w:rsidRPr="00DF02E8">
        <w:t xml:space="preserve">. Doporučeno je betonování po vrstvách </w:t>
      </w:r>
      <w:proofErr w:type="spellStart"/>
      <w:r w:rsidRPr="00DF02E8">
        <w:t>tl</w:t>
      </w:r>
      <w:proofErr w:type="spellEnd"/>
      <w:r w:rsidRPr="00DF02E8">
        <w:t>. 0,3 - 0,5 m (mezi vrstvami nesmí vznikat pracovní spáry), snížit teplotu čerstvého betonu a zvážit použití struskoportlandského cementu (CEM II/A-S, CEM II/B-S) v závislosti na ročním období. V teplém období doporučeno ukládat beton ve vrstvách stupňovitě tak, aby mezi čely spodní a vyšší vrstvy byla co nejmenší vzdálenost, ale minimálně 1,5 m. Další vrstva se nesmí betonovat na vrstvu ještě nezhutněnou.</w:t>
      </w:r>
    </w:p>
    <w:p w:rsidR="00F942E5" w:rsidRPr="00DF02E8" w:rsidRDefault="00F942E5" w:rsidP="00F942E5">
      <w:pPr>
        <w:spacing w:after="160"/>
        <w:rPr>
          <w:u w:val="single"/>
        </w:rPr>
      </w:pPr>
      <w:r w:rsidRPr="00DF02E8">
        <w:rPr>
          <w:u w:val="single"/>
        </w:rPr>
        <w:t>Zabránění vzniku trhlin</w:t>
      </w:r>
    </w:p>
    <w:p w:rsidR="00F942E5" w:rsidRPr="00DF02E8" w:rsidRDefault="00F942E5" w:rsidP="00F942E5">
      <w:pPr>
        <w:spacing w:after="160"/>
      </w:pPr>
      <w:r w:rsidRPr="00DF02E8">
        <w:t>Pro zabránění vzniku trhlin je třeba zajistit, aby maximální teplota betonu nosné konstrukce nepřekročila 40 °C. Opatření se musí přizpůsobit aktuálním podmínkám stavby, tak aby se v co největší míře zabránilo vzniku trhlin</w:t>
      </w:r>
      <w:r>
        <w:t>.</w:t>
      </w:r>
    </w:p>
    <w:p w:rsidR="00F942E5" w:rsidRPr="00DF02E8" w:rsidRDefault="00F942E5" w:rsidP="00F942E5">
      <w:pPr>
        <w:spacing w:after="160"/>
      </w:pPr>
      <w:r w:rsidRPr="00DF02E8">
        <w:t xml:space="preserve">Technologický postup betonáže a ošetřování betonu musí být navržen tak, aby se v prvních třech dnech zabránilo rychlému ochlazení a v prvních sedmi dnech k rychlému vyschnutí konstrukce. </w:t>
      </w:r>
    </w:p>
    <w:p w:rsidR="00F942E5" w:rsidRPr="00DF02E8" w:rsidRDefault="00F942E5" w:rsidP="00F942E5">
      <w:pPr>
        <w:spacing w:after="160"/>
        <w:rPr>
          <w:u w:val="single"/>
        </w:rPr>
      </w:pPr>
      <w:r w:rsidRPr="00DF02E8">
        <w:rPr>
          <w:u w:val="single"/>
        </w:rPr>
        <w:t>Ošetřování a ochrana</w:t>
      </w:r>
    </w:p>
    <w:p w:rsidR="00F942E5" w:rsidRPr="00DF02E8" w:rsidRDefault="00F942E5" w:rsidP="00F942E5">
      <w:pPr>
        <w:spacing w:after="160"/>
      </w:pPr>
      <w:r w:rsidRPr="00DF02E8">
        <w:t>Je stanovena a bude prováděna podle ČSN EN 13670.</w:t>
      </w:r>
    </w:p>
    <w:p w:rsidR="00F942E5" w:rsidRPr="00DF02E8" w:rsidRDefault="00F942E5" w:rsidP="00F942E5">
      <w:pPr>
        <w:spacing w:after="160"/>
      </w:pPr>
      <w:r w:rsidRPr="00DF02E8">
        <w:t>Předpokládáme min. třídu ošetřování 4. Třída ošetřování bude stanovena v technologickém předpisu pro betonáž, stanoví technolog betonárky.</w:t>
      </w:r>
    </w:p>
    <w:p w:rsidR="00F942E5" w:rsidRPr="00DF02E8" w:rsidRDefault="00F942E5" w:rsidP="00F942E5">
      <w:pPr>
        <w:spacing w:after="160"/>
        <w:rPr>
          <w:u w:val="single"/>
        </w:rPr>
      </w:pPr>
      <w:r w:rsidRPr="00DF02E8">
        <w:rPr>
          <w:u w:val="single"/>
        </w:rPr>
        <w:t>Povrch betonu</w:t>
      </w:r>
    </w:p>
    <w:p w:rsidR="00F942E5" w:rsidRDefault="00F942E5" w:rsidP="00F942E5">
      <w:pPr>
        <w:pStyle w:val="Texttabulky"/>
        <w:rPr>
          <w:color w:val="auto"/>
        </w:rPr>
      </w:pPr>
      <w:r>
        <w:rPr>
          <w:color w:val="auto"/>
        </w:rPr>
        <w:t xml:space="preserve">Povrch betonu </w:t>
      </w:r>
      <w:r>
        <w:rPr>
          <w:b/>
          <w:color w:val="auto"/>
        </w:rPr>
        <w:t xml:space="preserve">kotvené dobetonávky </w:t>
      </w:r>
      <w:proofErr w:type="spellStart"/>
      <w:r>
        <w:rPr>
          <w:b/>
          <w:color w:val="auto"/>
        </w:rPr>
        <w:t>zhlaví</w:t>
      </w:r>
      <w:proofErr w:type="spellEnd"/>
      <w:r>
        <w:rPr>
          <w:b/>
          <w:color w:val="auto"/>
        </w:rPr>
        <w:t xml:space="preserve"> </w:t>
      </w:r>
      <w:r>
        <w:rPr>
          <w:color w:val="auto"/>
        </w:rPr>
        <w:t xml:space="preserve">musí vedle výše popsaných parametrů splnit následující požadavky na pohledový beton (dle směrnice Technická pravidla ČBS 03 Pohledový beton, autor: Rudolf Hela, Vlastimil </w:t>
      </w:r>
      <w:proofErr w:type="spellStart"/>
      <w:r>
        <w:rPr>
          <w:color w:val="auto"/>
        </w:rPr>
        <w:t>Šrůma</w:t>
      </w:r>
      <w:proofErr w:type="spellEnd"/>
      <w:r>
        <w:rPr>
          <w:color w:val="auto"/>
        </w:rPr>
        <w:t xml:space="preserve"> a kol., rok vydání: 2009):</w:t>
      </w:r>
    </w:p>
    <w:p w:rsidR="00F942E5" w:rsidRDefault="00F942E5" w:rsidP="00F942E5">
      <w:pPr>
        <w:pStyle w:val="Zkladntext31"/>
        <w:ind w:firstLine="0"/>
        <w:rPr>
          <w:b/>
          <w:i/>
          <w:color w:val="auto"/>
        </w:rPr>
      </w:pPr>
    </w:p>
    <w:p w:rsidR="00F942E5" w:rsidRDefault="00F942E5" w:rsidP="00F942E5">
      <w:pPr>
        <w:pStyle w:val="Zkladntext31"/>
        <w:ind w:firstLine="0"/>
        <w:rPr>
          <w:b/>
          <w:i/>
          <w:color w:val="auto"/>
        </w:rPr>
      </w:pPr>
      <w:r>
        <w:rPr>
          <w:b/>
          <w:i/>
          <w:color w:val="auto"/>
        </w:rPr>
        <w:t>Třída pohledového betonu: PB2</w:t>
      </w:r>
    </w:p>
    <w:p w:rsidR="00F942E5" w:rsidRDefault="00F942E5" w:rsidP="00F942E5">
      <w:pPr>
        <w:pStyle w:val="Zkladntext31"/>
        <w:ind w:firstLine="0"/>
        <w:rPr>
          <w:color w:val="auto"/>
        </w:rPr>
      </w:pPr>
      <w:r>
        <w:rPr>
          <w:i/>
          <w:color w:val="auto"/>
        </w:rPr>
        <w:t xml:space="preserve">Struktura povrhu a provedení </w:t>
      </w:r>
      <w:proofErr w:type="spellStart"/>
      <w:r>
        <w:rPr>
          <w:i/>
          <w:color w:val="auto"/>
        </w:rPr>
        <w:t>spar</w:t>
      </w:r>
      <w:proofErr w:type="spellEnd"/>
      <w:r>
        <w:rPr>
          <w:color w:val="auto"/>
        </w:rPr>
        <w:t>: S1 (hladká uzavřená, povětšinou jednotná betonová plocha, žádná hnízda hrubšího kameniva, skoky povrchů mezi jednotlivými bednícími dílci do 5 mm, otisk rámu bednícího dílce se připouští),</w:t>
      </w:r>
    </w:p>
    <w:p w:rsidR="00F942E5" w:rsidRDefault="00F942E5" w:rsidP="00F942E5">
      <w:pPr>
        <w:pStyle w:val="Zkladntext31"/>
        <w:ind w:firstLine="0"/>
        <w:rPr>
          <w:i/>
          <w:color w:val="auto"/>
        </w:rPr>
      </w:pPr>
    </w:p>
    <w:p w:rsidR="00F942E5" w:rsidRDefault="00F942E5" w:rsidP="00F942E5">
      <w:pPr>
        <w:pStyle w:val="Zkladntext31"/>
        <w:ind w:firstLine="0"/>
        <w:rPr>
          <w:color w:val="auto"/>
        </w:rPr>
      </w:pPr>
      <w:r>
        <w:rPr>
          <w:i/>
          <w:color w:val="auto"/>
        </w:rPr>
        <w:t>Pórovitost</w:t>
      </w:r>
      <w:r>
        <w:rPr>
          <w:color w:val="auto"/>
        </w:rPr>
        <w:t xml:space="preserve">: P2 (podíl pórů postupně klesající &lt; 0,9 % zkušební plochy, plocha </w:t>
      </w:r>
      <w:proofErr w:type="spellStart"/>
      <w:r>
        <w:rPr>
          <w:color w:val="auto"/>
        </w:rPr>
        <w:t>porů</w:t>
      </w:r>
      <w:proofErr w:type="spellEnd"/>
      <w:r>
        <w:rPr>
          <w:color w:val="auto"/>
        </w:rPr>
        <w:t xml:space="preserve"> max. 1440 mm</w:t>
      </w:r>
      <w:r>
        <w:rPr>
          <w:color w:val="auto"/>
          <w:vertAlign w:val="superscript"/>
        </w:rPr>
        <w:t>2</w:t>
      </w:r>
      <w:r>
        <w:rPr>
          <w:color w:val="auto"/>
        </w:rPr>
        <w:t xml:space="preserve"> na zkušební ploše 400 mm x 400 mm)),</w:t>
      </w:r>
    </w:p>
    <w:p w:rsidR="00F942E5" w:rsidRDefault="00F942E5" w:rsidP="00F942E5">
      <w:pPr>
        <w:pStyle w:val="Zkladntext31"/>
        <w:ind w:firstLine="0"/>
        <w:rPr>
          <w:i/>
          <w:color w:val="auto"/>
        </w:rPr>
      </w:pPr>
    </w:p>
    <w:p w:rsidR="00F942E5" w:rsidRDefault="00F942E5" w:rsidP="00F942E5">
      <w:pPr>
        <w:pStyle w:val="Zkladntext31"/>
        <w:ind w:firstLine="0"/>
        <w:rPr>
          <w:color w:val="auto"/>
        </w:rPr>
      </w:pPr>
      <w:r>
        <w:rPr>
          <w:i/>
          <w:color w:val="auto"/>
        </w:rPr>
        <w:t>Vyrovnaná barevnost</w:t>
      </w:r>
      <w:r>
        <w:rPr>
          <w:color w:val="auto"/>
        </w:rPr>
        <w:t xml:space="preserve">: B1 (jsou nepřípustné barevné skvrny způsobené rzí, růzností materiálu bednícího pláště, neodborným zacházením s bednícími dílci, neodborným následným </w:t>
      </w:r>
      <w:proofErr w:type="spellStart"/>
      <w:r>
        <w:rPr>
          <w:color w:val="auto"/>
        </w:rPr>
        <w:t>oštřením</w:t>
      </w:r>
      <w:proofErr w:type="spellEnd"/>
      <w:r>
        <w:rPr>
          <w:color w:val="auto"/>
        </w:rPr>
        <w:t>, kamenivem různého původu, čárovým probarvením (od prokreslení výztuže)</w:t>
      </w:r>
    </w:p>
    <w:p w:rsidR="00F942E5" w:rsidRDefault="00F942E5" w:rsidP="00F942E5">
      <w:pPr>
        <w:pStyle w:val="Zkladntext31"/>
        <w:ind w:firstLine="0"/>
        <w:rPr>
          <w:i/>
          <w:color w:val="auto"/>
        </w:rPr>
      </w:pPr>
    </w:p>
    <w:p w:rsidR="00F942E5" w:rsidRDefault="00F942E5" w:rsidP="00F942E5">
      <w:pPr>
        <w:pStyle w:val="Zkladntext31"/>
        <w:ind w:firstLine="0"/>
        <w:rPr>
          <w:color w:val="auto"/>
        </w:rPr>
      </w:pPr>
      <w:proofErr w:type="gramStart"/>
      <w:r>
        <w:rPr>
          <w:i/>
          <w:color w:val="auto"/>
        </w:rPr>
        <w:t>Rovinnost</w:t>
      </w:r>
      <w:r>
        <w:rPr>
          <w:color w:val="auto"/>
        </w:rPr>
        <w:t xml:space="preserve"> : R1</w:t>
      </w:r>
      <w:proofErr w:type="gramEnd"/>
      <w:r>
        <w:rPr>
          <w:color w:val="auto"/>
        </w:rPr>
        <w:t xml:space="preserve"> (je dáno ČSN EN 13670, toleranční třída 2),</w:t>
      </w:r>
    </w:p>
    <w:p w:rsidR="00F942E5" w:rsidRDefault="00F942E5" w:rsidP="00F942E5">
      <w:pPr>
        <w:pStyle w:val="Zkladntext31"/>
        <w:ind w:firstLine="0"/>
        <w:rPr>
          <w:i/>
          <w:color w:val="auto"/>
        </w:rPr>
      </w:pPr>
    </w:p>
    <w:p w:rsidR="00F942E5" w:rsidRDefault="00F942E5" w:rsidP="00F942E5">
      <w:pPr>
        <w:pStyle w:val="Zkladntext31"/>
        <w:ind w:firstLine="0"/>
        <w:rPr>
          <w:color w:val="auto"/>
        </w:rPr>
      </w:pPr>
      <w:r>
        <w:rPr>
          <w:i/>
          <w:color w:val="auto"/>
        </w:rPr>
        <w:lastRenderedPageBreak/>
        <w:t>Pracovní spáry</w:t>
      </w:r>
      <w:r>
        <w:rPr>
          <w:color w:val="auto"/>
        </w:rPr>
        <w:t>: PS1 (výrony jemné malty na straně k dříve betonovanému dílu musí být včas odstraněny),</w:t>
      </w:r>
    </w:p>
    <w:p w:rsidR="00F942E5" w:rsidRDefault="00F942E5" w:rsidP="00F942E5">
      <w:pPr>
        <w:pStyle w:val="Zkladntext31"/>
        <w:ind w:firstLine="0"/>
        <w:rPr>
          <w:b/>
          <w:i/>
          <w:color w:val="auto"/>
        </w:rPr>
      </w:pPr>
    </w:p>
    <w:p w:rsidR="00F942E5" w:rsidRDefault="00F942E5" w:rsidP="00F942E5">
      <w:pPr>
        <w:pStyle w:val="Zkladntext31"/>
        <w:ind w:firstLine="0"/>
        <w:rPr>
          <w:b/>
          <w:i/>
          <w:color w:val="auto"/>
        </w:rPr>
      </w:pPr>
      <w:r>
        <w:rPr>
          <w:b/>
          <w:i/>
          <w:color w:val="auto"/>
        </w:rPr>
        <w:t xml:space="preserve">Požadavky na bednění: </w:t>
      </w:r>
      <w:r w:rsidRPr="006037F3">
        <w:rPr>
          <w:color w:val="auto"/>
        </w:rPr>
        <w:t>TB2</w:t>
      </w:r>
      <w:r>
        <w:rPr>
          <w:b/>
          <w:i/>
          <w:color w:val="auto"/>
        </w:rPr>
        <w:t xml:space="preserve"> </w:t>
      </w:r>
    </w:p>
    <w:p w:rsidR="00F942E5" w:rsidRDefault="00F942E5">
      <w:pPr>
        <w:spacing w:after="0"/>
        <w:jc w:val="left"/>
        <w:rPr>
          <w:b/>
          <w:color w:val="000000" w:themeColor="text1"/>
          <w:sz w:val="26"/>
        </w:rPr>
      </w:pPr>
      <w:bookmarkStart w:id="57" w:name="_Toc6986456"/>
    </w:p>
    <w:p w:rsidR="00F942E5" w:rsidRDefault="00F942E5" w:rsidP="00F942E5">
      <w:pPr>
        <w:pStyle w:val="Nadpis3"/>
        <w:rPr>
          <w:color w:val="000000" w:themeColor="text1"/>
        </w:rPr>
      </w:pPr>
      <w:bookmarkStart w:id="58" w:name="_Toc10212864"/>
      <w:r w:rsidRPr="00271BB4">
        <w:rPr>
          <w:color w:val="000000" w:themeColor="text1"/>
        </w:rPr>
        <w:t xml:space="preserve">Dobetonávka </w:t>
      </w:r>
      <w:proofErr w:type="spellStart"/>
      <w:r w:rsidRPr="00271BB4">
        <w:rPr>
          <w:color w:val="000000" w:themeColor="text1"/>
        </w:rPr>
        <w:t>zhlaví</w:t>
      </w:r>
      <w:proofErr w:type="spellEnd"/>
      <w:r w:rsidRPr="00271BB4">
        <w:rPr>
          <w:color w:val="000000" w:themeColor="text1"/>
        </w:rPr>
        <w:t xml:space="preserve"> pilíře</w:t>
      </w:r>
      <w:bookmarkEnd w:id="57"/>
      <w:bookmarkEnd w:id="58"/>
    </w:p>
    <w:p w:rsidR="00F942E5" w:rsidRPr="00DC288F" w:rsidRDefault="00F942E5" w:rsidP="00F942E5">
      <w:pPr>
        <w:spacing w:after="160"/>
      </w:pPr>
      <w:r w:rsidRPr="002E3ABC">
        <w:rPr>
          <w:b/>
        </w:rPr>
        <w:t>Stávající stav:</w:t>
      </w:r>
      <w:r w:rsidRPr="00DC288F">
        <w:t xml:space="preserve"> lokálně porušené kameny v místech, kde byla osazena ocelová konstrukce nebo ocelové trny (</w:t>
      </w:r>
      <w:r w:rsidR="007C25AC">
        <w:t xml:space="preserve">poškozené nebo </w:t>
      </w:r>
      <w:r w:rsidRPr="00DC288F">
        <w:t xml:space="preserve">korozí prasklé kameny). </w:t>
      </w:r>
    </w:p>
    <w:p w:rsidR="00F942E5" w:rsidRPr="00DC288F" w:rsidRDefault="00F942E5" w:rsidP="00F942E5">
      <w:pPr>
        <w:spacing w:after="160"/>
        <w:rPr>
          <w:szCs w:val="24"/>
        </w:rPr>
      </w:pPr>
      <w:r w:rsidRPr="002E3ABC">
        <w:rPr>
          <w:b/>
        </w:rPr>
        <w:t>Bourací práce:</w:t>
      </w:r>
      <w:r w:rsidRPr="00DC288F">
        <w:t xml:space="preserve"> ruční rozebrání kamene z horní řady na výšku cca 0,</w:t>
      </w:r>
      <w:r w:rsidR="0034642A">
        <w:t>80</w:t>
      </w:r>
      <w:r w:rsidRPr="00DC288F">
        <w:t xml:space="preserve"> m, jeho očištění od cementové malty. Přetřídění vhodného kamene pro jeho zpětné využití (obnova kamene, náhrada zdiva). </w:t>
      </w:r>
      <w:r w:rsidRPr="00DC288F">
        <w:rPr>
          <w:szCs w:val="24"/>
        </w:rPr>
        <w:t xml:space="preserve">Přetříděné kameny budou uloženy na </w:t>
      </w:r>
      <w:proofErr w:type="spellStart"/>
      <w:r w:rsidRPr="00DC288F">
        <w:rPr>
          <w:szCs w:val="24"/>
        </w:rPr>
        <w:t>mezideponii</w:t>
      </w:r>
      <w:proofErr w:type="spellEnd"/>
      <w:r w:rsidRPr="00DC288F">
        <w:rPr>
          <w:szCs w:val="24"/>
        </w:rPr>
        <w:t>. Přebytečné kameny budou odvezeny a uloženy dle požadavků investora.</w:t>
      </w:r>
    </w:p>
    <w:p w:rsidR="00F942E5" w:rsidRPr="00DC288F" w:rsidRDefault="00F942E5" w:rsidP="00F942E5">
      <w:pPr>
        <w:spacing w:after="160"/>
      </w:pPr>
      <w:proofErr w:type="spellStart"/>
      <w:r w:rsidRPr="002E3ABC">
        <w:rPr>
          <w:b/>
        </w:rPr>
        <w:t>Nakotvení</w:t>
      </w:r>
      <w:proofErr w:type="spellEnd"/>
      <w:r w:rsidRPr="002E3ABC">
        <w:rPr>
          <w:b/>
        </w:rPr>
        <w:t xml:space="preserve"> výztuže:</w:t>
      </w:r>
      <w:r w:rsidRPr="00DC288F">
        <w:t xml:space="preserve"> trny z oceli B500B na chemickou patronu.</w:t>
      </w:r>
    </w:p>
    <w:p w:rsidR="00F942E5" w:rsidRPr="00DC288F" w:rsidRDefault="00F942E5" w:rsidP="00F942E5">
      <w:pPr>
        <w:spacing w:after="160"/>
      </w:pPr>
      <w:r w:rsidRPr="002E3ABC">
        <w:rPr>
          <w:b/>
        </w:rPr>
        <w:t>Vyvázání výztuže:</w:t>
      </w:r>
      <w:r w:rsidRPr="00DC288F">
        <w:t xml:space="preserve"> vázaná výztuž B500B, svařované sítě B500A.</w:t>
      </w:r>
    </w:p>
    <w:p w:rsidR="00F942E5" w:rsidRDefault="00F942E5" w:rsidP="00F942E5">
      <w:pPr>
        <w:spacing w:after="160"/>
      </w:pPr>
      <w:r w:rsidRPr="00DC288F">
        <w:t>Výkres výztuže bude předmětem RDS (výrobní dokumentace).</w:t>
      </w:r>
    </w:p>
    <w:p w:rsidR="001B3E8D" w:rsidRPr="00D257A5" w:rsidRDefault="001B3E8D" w:rsidP="00F942E5">
      <w:pPr>
        <w:spacing w:after="160"/>
      </w:pPr>
      <w:r w:rsidRPr="00D257A5">
        <w:t>Výztuž bude navržena na omezení</w:t>
      </w:r>
      <w:r w:rsidRPr="00D257A5">
        <w:rPr>
          <w:szCs w:val="24"/>
        </w:rPr>
        <w:t xml:space="preserve"> šířky trhliny v raném stadiu po betonáži prvku. Limitní šířka trhliny: 0,3 mm.</w:t>
      </w:r>
    </w:p>
    <w:p w:rsidR="00F942E5" w:rsidRPr="00DC288F" w:rsidRDefault="00F942E5" w:rsidP="00F942E5">
      <w:pPr>
        <w:spacing w:after="160"/>
      </w:pPr>
      <w:r w:rsidRPr="002E3ABC">
        <w:rPr>
          <w:b/>
        </w:rPr>
        <w:t>Beton:</w:t>
      </w:r>
      <w:r w:rsidRPr="00DC288F">
        <w:t xml:space="preserve"> C30/37 XC4, XF3 (XA1) - Cl 0,40, </w:t>
      </w:r>
      <w:proofErr w:type="spellStart"/>
      <w:r w:rsidRPr="00DC288F">
        <w:t>D</w:t>
      </w:r>
      <w:r w:rsidRPr="00DC288F">
        <w:rPr>
          <w:vertAlign w:val="subscript"/>
        </w:rPr>
        <w:t>max</w:t>
      </w:r>
      <w:proofErr w:type="spellEnd"/>
      <w:r w:rsidRPr="00DC288F">
        <w:t xml:space="preserve"> 16 – S</w:t>
      </w:r>
      <w:r>
        <w:t>4</w:t>
      </w:r>
      <w:r w:rsidRPr="00DC288F">
        <w:t>. Zkosení hran 20/20 mm.</w:t>
      </w:r>
    </w:p>
    <w:p w:rsidR="00F942E5" w:rsidRPr="00DC288F" w:rsidRDefault="00F942E5" w:rsidP="00F942E5">
      <w:pPr>
        <w:spacing w:after="160"/>
      </w:pPr>
      <w:r w:rsidRPr="00DC288F">
        <w:t xml:space="preserve">Betonáž kotvené dobetonávky </w:t>
      </w:r>
      <w:proofErr w:type="spellStart"/>
      <w:r w:rsidRPr="00DC288F">
        <w:t>zhlaví</w:t>
      </w:r>
      <w:proofErr w:type="spellEnd"/>
      <w:r w:rsidRPr="00DC288F">
        <w:t xml:space="preserve"> pilíře bude provedena do bednění, </w:t>
      </w:r>
      <w:proofErr w:type="spellStart"/>
      <w:r w:rsidRPr="00DC288F">
        <w:t>přikotveného</w:t>
      </w:r>
      <w:proofErr w:type="spellEnd"/>
      <w:r w:rsidRPr="00DC288F">
        <w:t xml:space="preserve"> nebo nasazeného podle tvaru pilíře.</w:t>
      </w:r>
    </w:p>
    <w:p w:rsidR="005266B6" w:rsidRDefault="005266B6" w:rsidP="005266B6">
      <w:pPr>
        <w:pStyle w:val="Odstavecseseznamem"/>
        <w:ind w:left="426"/>
        <w:rPr>
          <w:color w:val="FF0000"/>
        </w:rPr>
      </w:pPr>
    </w:p>
    <w:p w:rsidR="00495753" w:rsidRPr="00CA22E6" w:rsidRDefault="00495753" w:rsidP="00495753">
      <w:pPr>
        <w:pStyle w:val="Nadpis3"/>
        <w:rPr>
          <w:color w:val="000000" w:themeColor="text1"/>
        </w:rPr>
      </w:pPr>
      <w:bookmarkStart w:id="59" w:name="_Toc10212865"/>
      <w:r>
        <w:rPr>
          <w:color w:val="000000" w:themeColor="text1"/>
        </w:rPr>
        <w:t>Odvod</w:t>
      </w:r>
      <w:r w:rsidR="00530AE2">
        <w:rPr>
          <w:color w:val="000000" w:themeColor="text1"/>
        </w:rPr>
        <w:t>ň</w:t>
      </w:r>
      <w:r>
        <w:rPr>
          <w:color w:val="000000" w:themeColor="text1"/>
        </w:rPr>
        <w:t>ovací vrty</w:t>
      </w:r>
      <w:bookmarkEnd w:id="59"/>
    </w:p>
    <w:p w:rsidR="00495753" w:rsidRDefault="00495753" w:rsidP="00495753">
      <w:pPr>
        <w:spacing w:after="160"/>
      </w:pPr>
      <w:r>
        <w:t>Počet vrtů: 3</w:t>
      </w:r>
    </w:p>
    <w:p w:rsidR="00495753" w:rsidRPr="00495753" w:rsidRDefault="00495753" w:rsidP="00495753">
      <w:pPr>
        <w:spacing w:after="160"/>
      </w:pPr>
      <w:r w:rsidRPr="00495753">
        <w:t>Průměr vrtu: 130mm</w:t>
      </w:r>
    </w:p>
    <w:p w:rsidR="00495753" w:rsidRDefault="00495753" w:rsidP="00495753">
      <w:pPr>
        <w:spacing w:after="160"/>
      </w:pPr>
      <w:r w:rsidRPr="00495753">
        <w:t>Délka vrtu: 80 cm</w:t>
      </w:r>
    </w:p>
    <w:p w:rsidR="00495753" w:rsidRDefault="00495753" w:rsidP="00530AE2">
      <w:pPr>
        <w:spacing w:after="160"/>
      </w:pPr>
      <w:r>
        <w:t>Vystrojení: potrubí PE-KG 110</w:t>
      </w:r>
      <w:r w:rsidR="00530AE2">
        <w:t>, délka 85cm</w:t>
      </w:r>
      <w:r>
        <w:t>, přesah 10 cm</w:t>
      </w:r>
      <w:r w:rsidR="00530AE2">
        <w:t xml:space="preserve"> za lícem zdi</w:t>
      </w:r>
    </w:p>
    <w:p w:rsidR="00530AE2" w:rsidRPr="00495753" w:rsidRDefault="00530AE2" w:rsidP="00530AE2">
      <w:pPr>
        <w:spacing w:after="160"/>
      </w:pPr>
      <w:r>
        <w:t>Úklon vrtů: 91,9</w:t>
      </w:r>
      <w:r w:rsidRPr="00530AE2">
        <w:rPr>
          <w:vertAlign w:val="superscript"/>
        </w:rPr>
        <w:t>o</w:t>
      </w:r>
      <w:r>
        <w:t xml:space="preserve"> od svislice</w:t>
      </w:r>
    </w:p>
    <w:p w:rsidR="00495753" w:rsidRPr="00CA22E6" w:rsidRDefault="00495753" w:rsidP="0034642A">
      <w:pPr>
        <w:pStyle w:val="Nadpis3"/>
        <w:numPr>
          <w:ilvl w:val="0"/>
          <w:numId w:val="0"/>
        </w:numPr>
        <w:rPr>
          <w:color w:val="000000" w:themeColor="text1"/>
        </w:rPr>
      </w:pPr>
      <w:bookmarkStart w:id="60" w:name="_Toc10212866"/>
      <w:r>
        <w:rPr>
          <w:color w:val="000000" w:themeColor="text1"/>
        </w:rPr>
        <w:t xml:space="preserve">Požadavky na provádění </w:t>
      </w:r>
      <w:r w:rsidR="00530AE2">
        <w:rPr>
          <w:color w:val="000000" w:themeColor="text1"/>
        </w:rPr>
        <w:t>odvodňovacích vrtů</w:t>
      </w:r>
      <w:bookmarkEnd w:id="60"/>
    </w:p>
    <w:p w:rsidR="00495753" w:rsidRDefault="00495753" w:rsidP="00495753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Po dokončení injekční clony</w:t>
      </w:r>
    </w:p>
    <w:p w:rsidR="00530AE2" w:rsidRPr="00530AE2" w:rsidRDefault="00530AE2" w:rsidP="00530AE2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 xml:space="preserve">Jádrové </w:t>
      </w:r>
      <w:proofErr w:type="spellStart"/>
      <w:r>
        <w:rPr>
          <w:color w:val="000000" w:themeColor="text1"/>
        </w:rPr>
        <w:t>odvrty</w:t>
      </w:r>
      <w:proofErr w:type="spellEnd"/>
    </w:p>
    <w:p w:rsidR="003000B8" w:rsidRPr="003C1E70" w:rsidRDefault="003000B8" w:rsidP="005266B6">
      <w:pPr>
        <w:pStyle w:val="Odstavecseseznamem"/>
        <w:ind w:left="426"/>
      </w:pPr>
    </w:p>
    <w:p w:rsidR="00D257A5" w:rsidRDefault="00D257A5">
      <w:pPr>
        <w:spacing w:after="0"/>
        <w:jc w:val="left"/>
        <w:rPr>
          <w:b/>
          <w:color w:val="000000" w:themeColor="text1"/>
          <w:sz w:val="26"/>
        </w:rPr>
      </w:pPr>
      <w:r>
        <w:rPr>
          <w:color w:val="000000" w:themeColor="text1"/>
        </w:rPr>
        <w:br w:type="page"/>
      </w:r>
    </w:p>
    <w:p w:rsidR="005F1653" w:rsidRPr="00CA22E6" w:rsidRDefault="005F1653" w:rsidP="005F1653">
      <w:pPr>
        <w:pStyle w:val="Nadpis3"/>
        <w:rPr>
          <w:color w:val="000000" w:themeColor="text1"/>
        </w:rPr>
      </w:pPr>
      <w:bookmarkStart w:id="61" w:name="_Toc10212867"/>
      <w:r>
        <w:rPr>
          <w:color w:val="000000" w:themeColor="text1"/>
        </w:rPr>
        <w:lastRenderedPageBreak/>
        <w:t xml:space="preserve">Spárování </w:t>
      </w:r>
      <w:proofErr w:type="spellStart"/>
      <w:r w:rsidR="00982685">
        <w:rPr>
          <w:color w:val="000000" w:themeColor="text1"/>
        </w:rPr>
        <w:t>mezipilíře</w:t>
      </w:r>
      <w:proofErr w:type="spellEnd"/>
      <w:r w:rsidR="0034642A">
        <w:rPr>
          <w:color w:val="000000" w:themeColor="text1"/>
        </w:rPr>
        <w:t xml:space="preserve"> a levého pilíře</w:t>
      </w:r>
      <w:bookmarkEnd w:id="61"/>
    </w:p>
    <w:p w:rsidR="0034642A" w:rsidRPr="0034642A" w:rsidRDefault="0034642A" w:rsidP="0034642A">
      <w:pPr>
        <w:spacing w:after="160"/>
        <w:rPr>
          <w:b/>
        </w:rPr>
      </w:pPr>
      <w:proofErr w:type="spellStart"/>
      <w:r w:rsidRPr="0034642A">
        <w:rPr>
          <w:b/>
        </w:rPr>
        <w:t>Mezipilíř</w:t>
      </w:r>
      <w:proofErr w:type="spellEnd"/>
    </w:p>
    <w:p w:rsidR="00982685" w:rsidRPr="0034642A" w:rsidRDefault="00982685" w:rsidP="00602A3E">
      <w:pPr>
        <w:spacing w:after="160"/>
      </w:pPr>
      <w:r w:rsidRPr="0034642A">
        <w:t>Horní plocha</w:t>
      </w:r>
      <w:r w:rsidR="00D8144D" w:rsidRPr="0034642A">
        <w:t>:</w:t>
      </w:r>
      <w:r w:rsidRPr="0034642A">
        <w:t xml:space="preserve"> </w:t>
      </w:r>
    </w:p>
    <w:p w:rsidR="00982685" w:rsidRDefault="00982685" w:rsidP="00602A3E">
      <w:pPr>
        <w:spacing w:after="160"/>
      </w:pPr>
      <w:r>
        <w:t>A: d</w:t>
      </w:r>
      <w:r w:rsidR="00602A3E" w:rsidRPr="00602A3E">
        <w:t xml:space="preserve">lažba z lomového kamene </w:t>
      </w:r>
    </w:p>
    <w:p w:rsidR="00982685" w:rsidRPr="00D8144D" w:rsidRDefault="00982685" w:rsidP="00602A3E">
      <w:pPr>
        <w:spacing w:after="160"/>
        <w:rPr>
          <w:b/>
        </w:rPr>
      </w:pPr>
      <w:r w:rsidRPr="00D8144D">
        <w:rPr>
          <w:b/>
        </w:rPr>
        <w:t xml:space="preserve">Svislé plochy: </w:t>
      </w:r>
    </w:p>
    <w:p w:rsidR="00D8144D" w:rsidRDefault="00D8144D" w:rsidP="00602A3E">
      <w:pPr>
        <w:spacing w:after="160"/>
      </w:pPr>
      <w:r>
        <w:t xml:space="preserve">B: </w:t>
      </w:r>
      <w:r w:rsidR="00982685">
        <w:t>zdivo řádkové, pískovec výška cca 40 cm</w:t>
      </w:r>
    </w:p>
    <w:p w:rsidR="00D8144D" w:rsidRDefault="00D8144D" w:rsidP="00602A3E">
      <w:pPr>
        <w:spacing w:after="160"/>
      </w:pPr>
      <w:r>
        <w:t xml:space="preserve">C: </w:t>
      </w:r>
      <w:r w:rsidR="00495753">
        <w:t>zdivo řádkové, pískovec výška cca 40 cm</w:t>
      </w:r>
    </w:p>
    <w:p w:rsidR="00D8144D" w:rsidRDefault="00D8144D" w:rsidP="00602A3E">
      <w:pPr>
        <w:spacing w:after="160"/>
      </w:pPr>
      <w:r>
        <w:t>D: zdivo z lomového kamene</w:t>
      </w:r>
      <w:r w:rsidR="00495753">
        <w:t xml:space="preserve"> (nepravidelné)</w:t>
      </w:r>
    </w:p>
    <w:p w:rsidR="00D8144D" w:rsidRDefault="00D8144D" w:rsidP="00602A3E">
      <w:pPr>
        <w:spacing w:after="160"/>
      </w:pPr>
      <w:r>
        <w:t xml:space="preserve">E: </w:t>
      </w:r>
      <w:r w:rsidR="00495753">
        <w:t>zdivo řádkové, pískovec výška cca 40 cm</w:t>
      </w:r>
    </w:p>
    <w:p w:rsidR="005F1653" w:rsidRDefault="00602A3E" w:rsidP="005F1653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Cementová m</w:t>
      </w:r>
      <w:r w:rsidR="005F1653">
        <w:rPr>
          <w:color w:val="000000" w:themeColor="text1"/>
        </w:rPr>
        <w:t>alta</w:t>
      </w:r>
      <w:r w:rsidR="005F1653" w:rsidRPr="008E61C2">
        <w:rPr>
          <w:color w:val="000000" w:themeColor="text1"/>
        </w:rPr>
        <w:t xml:space="preserve">: </w:t>
      </w:r>
      <w:r w:rsidR="005F1653">
        <w:rPr>
          <w:color w:val="000000" w:themeColor="text1"/>
        </w:rPr>
        <w:t xml:space="preserve">M25 (pevnost v tlaku 25 </w:t>
      </w:r>
      <w:proofErr w:type="spellStart"/>
      <w:r w:rsidR="005F1653">
        <w:rPr>
          <w:color w:val="000000" w:themeColor="text1"/>
        </w:rPr>
        <w:t>MPa</w:t>
      </w:r>
      <w:proofErr w:type="spellEnd"/>
      <w:r w:rsidR="005F1653">
        <w:rPr>
          <w:color w:val="000000" w:themeColor="text1"/>
        </w:rPr>
        <w:t>)</w:t>
      </w:r>
    </w:p>
    <w:p w:rsidR="00346441" w:rsidRDefault="00346441" w:rsidP="00346441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Plocha spárovaní</w:t>
      </w:r>
      <w:r w:rsidRPr="008E61C2">
        <w:rPr>
          <w:color w:val="000000" w:themeColor="text1"/>
        </w:rPr>
        <w:t xml:space="preserve">: </w:t>
      </w:r>
      <w:r>
        <w:rPr>
          <w:color w:val="000000" w:themeColor="text1"/>
        </w:rPr>
        <w:t>neredukovaná (započítaná celá konstrukce</w:t>
      </w:r>
      <w:r w:rsidR="00530AE2">
        <w:rPr>
          <w:color w:val="000000" w:themeColor="text1"/>
        </w:rPr>
        <w:t xml:space="preserve"> </w:t>
      </w:r>
      <w:proofErr w:type="spellStart"/>
      <w:r w:rsidR="00530AE2">
        <w:rPr>
          <w:color w:val="000000" w:themeColor="text1"/>
        </w:rPr>
        <w:t>mezipilíře</w:t>
      </w:r>
      <w:proofErr w:type="spellEnd"/>
      <w:r>
        <w:rPr>
          <w:color w:val="000000" w:themeColor="text1"/>
        </w:rPr>
        <w:t>)</w:t>
      </w:r>
    </w:p>
    <w:p w:rsidR="0034642A" w:rsidRDefault="0034642A" w:rsidP="0034642A">
      <w:pPr>
        <w:spacing w:after="160"/>
        <w:rPr>
          <w:b/>
        </w:rPr>
      </w:pPr>
    </w:p>
    <w:p w:rsidR="0034642A" w:rsidRDefault="0034642A" w:rsidP="0034642A">
      <w:pPr>
        <w:spacing w:after="160"/>
        <w:rPr>
          <w:b/>
        </w:rPr>
      </w:pPr>
      <w:r>
        <w:rPr>
          <w:b/>
        </w:rPr>
        <w:t>Levý pilíř</w:t>
      </w:r>
    </w:p>
    <w:p w:rsidR="0034642A" w:rsidRPr="0034642A" w:rsidRDefault="0034642A" w:rsidP="0034642A">
      <w:pPr>
        <w:spacing w:after="160"/>
      </w:pPr>
      <w:r w:rsidRPr="0034642A">
        <w:t xml:space="preserve">Svislé plochy: </w:t>
      </w:r>
    </w:p>
    <w:p w:rsidR="0034642A" w:rsidRDefault="0034642A" w:rsidP="0034642A">
      <w:pPr>
        <w:spacing w:after="160"/>
      </w:pPr>
      <w:r>
        <w:t>zdivo řádkové, pískovec výška cca 40 cm</w:t>
      </w:r>
    </w:p>
    <w:p w:rsidR="0034642A" w:rsidRDefault="0034642A" w:rsidP="0034642A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Cementová malta</w:t>
      </w:r>
      <w:r w:rsidRPr="008E61C2">
        <w:rPr>
          <w:color w:val="000000" w:themeColor="text1"/>
        </w:rPr>
        <w:t xml:space="preserve">: </w:t>
      </w:r>
      <w:r>
        <w:rPr>
          <w:color w:val="000000" w:themeColor="text1"/>
        </w:rPr>
        <w:t xml:space="preserve">M25 (pevnost v tlaku 25 </w:t>
      </w:r>
      <w:proofErr w:type="spellStart"/>
      <w:r>
        <w:rPr>
          <w:color w:val="000000" w:themeColor="text1"/>
        </w:rPr>
        <w:t>MPa</w:t>
      </w:r>
      <w:proofErr w:type="spellEnd"/>
      <w:r>
        <w:rPr>
          <w:color w:val="000000" w:themeColor="text1"/>
        </w:rPr>
        <w:t>)</w:t>
      </w:r>
    </w:p>
    <w:p w:rsidR="0034642A" w:rsidRDefault="0034642A" w:rsidP="0034642A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Plocha spárovaní</w:t>
      </w:r>
      <w:r w:rsidRPr="008E61C2">
        <w:rPr>
          <w:color w:val="000000" w:themeColor="text1"/>
        </w:rPr>
        <w:t xml:space="preserve">: </w:t>
      </w:r>
      <w:r>
        <w:rPr>
          <w:color w:val="000000" w:themeColor="text1"/>
        </w:rPr>
        <w:t>neredukovaná (započítaná celá konstrukce)</w:t>
      </w:r>
    </w:p>
    <w:p w:rsidR="0034642A" w:rsidRDefault="0034642A" w:rsidP="0034642A">
      <w:pPr>
        <w:pStyle w:val="Nadpis3"/>
        <w:numPr>
          <w:ilvl w:val="0"/>
          <w:numId w:val="0"/>
        </w:numPr>
        <w:rPr>
          <w:color w:val="000000" w:themeColor="text1"/>
        </w:rPr>
      </w:pPr>
    </w:p>
    <w:p w:rsidR="00602A3E" w:rsidRPr="00CA22E6" w:rsidRDefault="00602A3E" w:rsidP="0034642A">
      <w:pPr>
        <w:pStyle w:val="Nadpis3"/>
        <w:numPr>
          <w:ilvl w:val="0"/>
          <w:numId w:val="0"/>
        </w:numPr>
        <w:rPr>
          <w:color w:val="000000" w:themeColor="text1"/>
        </w:rPr>
      </w:pPr>
      <w:bookmarkStart w:id="62" w:name="_Toc10212868"/>
      <w:r>
        <w:rPr>
          <w:color w:val="000000" w:themeColor="text1"/>
        </w:rPr>
        <w:t>Požadavky na provádění spárování</w:t>
      </w:r>
      <w:bookmarkEnd w:id="62"/>
    </w:p>
    <w:p w:rsidR="00602A3E" w:rsidRDefault="00602A3E" w:rsidP="00602A3E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Očištění konstrukce podjezí od náletů a travin</w:t>
      </w:r>
    </w:p>
    <w:p w:rsidR="00602A3E" w:rsidRDefault="00602A3E" w:rsidP="00602A3E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Vysekání spár do hloubky 7 cm</w:t>
      </w:r>
    </w:p>
    <w:p w:rsidR="00602A3E" w:rsidRDefault="00602A3E" w:rsidP="00602A3E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Výplach a vyčištění spár vodou</w:t>
      </w:r>
    </w:p>
    <w:p w:rsidR="00602A3E" w:rsidRPr="008E61C2" w:rsidRDefault="00602A3E" w:rsidP="00602A3E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proofErr w:type="spellStart"/>
      <w:r>
        <w:rPr>
          <w:color w:val="000000" w:themeColor="text1"/>
        </w:rPr>
        <w:t>Přespárování</w:t>
      </w:r>
      <w:proofErr w:type="spellEnd"/>
      <w:r>
        <w:rPr>
          <w:color w:val="000000" w:themeColor="text1"/>
        </w:rPr>
        <w:t xml:space="preserve"> spárovací maltou</w:t>
      </w:r>
    </w:p>
    <w:p w:rsidR="00602A3E" w:rsidRDefault="00602A3E" w:rsidP="001D5748"/>
    <w:p w:rsidR="001D5748" w:rsidRDefault="001D5748" w:rsidP="001D5748">
      <w:r w:rsidRPr="00D81663">
        <w:t xml:space="preserve">Správné složení </w:t>
      </w:r>
      <w:r>
        <w:t>spárovací hmoty</w:t>
      </w:r>
      <w:r w:rsidRPr="00D81663">
        <w:t xml:space="preserve"> pro konstrukce vyžaduje optimalizaci jednotlivých složek směsi jak z hlediska kvality tak i kvantity, aby bylo možné dosáhnout co nejlepších předpokladů pro splnění následujících požadavků:</w:t>
      </w:r>
    </w:p>
    <w:p w:rsidR="001D5748" w:rsidRDefault="001D5748" w:rsidP="001D5748">
      <w:pPr>
        <w:numPr>
          <w:ilvl w:val="0"/>
          <w:numId w:val="20"/>
        </w:numPr>
      </w:pPr>
      <w:r>
        <w:t>velmi dobrá zpracovatelnost,</w:t>
      </w:r>
    </w:p>
    <w:p w:rsidR="001D5748" w:rsidRDefault="001D5748" w:rsidP="001D5748">
      <w:pPr>
        <w:numPr>
          <w:ilvl w:val="0"/>
          <w:numId w:val="20"/>
        </w:numPr>
      </w:pPr>
      <w:r>
        <w:t>vhodnost pro ruční i strojní zpracování,</w:t>
      </w:r>
    </w:p>
    <w:p w:rsidR="001D5748" w:rsidRDefault="001D5748" w:rsidP="001D5748">
      <w:pPr>
        <w:numPr>
          <w:ilvl w:val="0"/>
          <w:numId w:val="20"/>
        </w:numPr>
      </w:pPr>
      <w:r>
        <w:t>se statickou funkcí</w:t>
      </w:r>
      <w:r w:rsidR="00602A3E">
        <w:t xml:space="preserve"> </w:t>
      </w:r>
    </w:p>
    <w:p w:rsidR="001D5748" w:rsidRDefault="001D5748" w:rsidP="001D5748">
      <w:pPr>
        <w:numPr>
          <w:ilvl w:val="0"/>
          <w:numId w:val="20"/>
        </w:numPr>
      </w:pPr>
      <w:r>
        <w:t>klasifikace R</w:t>
      </w:r>
      <w:r w:rsidR="00602A3E">
        <w:t>3</w:t>
      </w:r>
      <w:r>
        <w:t xml:space="preserve"> dle ČSN EN 1504-03,</w:t>
      </w:r>
    </w:p>
    <w:p w:rsidR="001D5748" w:rsidRDefault="001D5748" w:rsidP="001D5748">
      <w:pPr>
        <w:numPr>
          <w:ilvl w:val="0"/>
          <w:numId w:val="20"/>
        </w:numPr>
      </w:pPr>
      <w:r>
        <w:t>odolnost proti mrazu,</w:t>
      </w:r>
    </w:p>
    <w:p w:rsidR="001D5748" w:rsidRDefault="001D5748" w:rsidP="001D5748">
      <w:pPr>
        <w:numPr>
          <w:ilvl w:val="0"/>
          <w:numId w:val="20"/>
        </w:numPr>
      </w:pPr>
      <w:r>
        <w:t>malé smrštění,</w:t>
      </w:r>
    </w:p>
    <w:p w:rsidR="001D5748" w:rsidRDefault="001D5748" w:rsidP="001D5748">
      <w:pPr>
        <w:numPr>
          <w:ilvl w:val="0"/>
          <w:numId w:val="20"/>
        </w:numPr>
      </w:pPr>
      <w:r>
        <w:t>dobrá přilnavost bez použití spojovacího můstku.</w:t>
      </w:r>
    </w:p>
    <w:p w:rsidR="00FF6F9F" w:rsidRDefault="00FF6F9F" w:rsidP="00FF6F9F">
      <w:pPr>
        <w:ind w:left="720"/>
      </w:pPr>
    </w:p>
    <w:p w:rsidR="001D5748" w:rsidRPr="00D81663" w:rsidRDefault="001D5748" w:rsidP="001D5748">
      <w:r w:rsidRPr="007C1C30">
        <w:rPr>
          <w:noProof/>
        </w:rPr>
        <w:lastRenderedPageBreak/>
        <w:drawing>
          <wp:inline distT="0" distB="0" distL="0" distR="0">
            <wp:extent cx="5762625" cy="3467100"/>
            <wp:effectExtent l="0" t="0" r="952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02" t="13153" r="10017" b="15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6B6" w:rsidRDefault="005266B6" w:rsidP="009B048E">
      <w:pPr>
        <w:rPr>
          <w:color w:val="FF0000"/>
        </w:rPr>
      </w:pPr>
    </w:p>
    <w:p w:rsidR="00602A3E" w:rsidRDefault="00602A3E" w:rsidP="009B048E">
      <w:r w:rsidRPr="00602A3E">
        <w:t>Pro spárování bude dodavatel</w:t>
      </w:r>
      <w:r w:rsidR="00346441">
        <w:t>e</w:t>
      </w:r>
      <w:r w:rsidRPr="00602A3E">
        <w:t>m stavby zpracovaný technologický postup, kde bude uvedená vybraná cementová malta, technický list výrobce, podmínky použití atd.</w:t>
      </w:r>
    </w:p>
    <w:p w:rsidR="00602A3E" w:rsidRPr="00602A3E" w:rsidRDefault="00602A3E" w:rsidP="009B048E"/>
    <w:p w:rsidR="00C6677D" w:rsidRPr="003C1E70" w:rsidRDefault="005D3742" w:rsidP="00D75467">
      <w:pPr>
        <w:pStyle w:val="Nadpis2"/>
      </w:pPr>
      <w:bookmarkStart w:id="63" w:name="_Toc10212869"/>
      <w:r w:rsidRPr="003C1E70">
        <w:t xml:space="preserve">Požadavky </w:t>
      </w:r>
      <w:r w:rsidR="003C1E70" w:rsidRPr="003C1E70">
        <w:t>realizační výrobní</w:t>
      </w:r>
      <w:r w:rsidRPr="003C1E70">
        <w:t xml:space="preserve"> </w:t>
      </w:r>
      <w:r w:rsidR="009B048E" w:rsidRPr="003C1E70">
        <w:t>dokumentaci</w:t>
      </w:r>
      <w:bookmarkEnd w:id="63"/>
    </w:p>
    <w:p w:rsidR="0034642A" w:rsidRPr="006524DF" w:rsidRDefault="0034642A" w:rsidP="0034642A">
      <w:r>
        <w:t>RDS: v</w:t>
      </w:r>
      <w:r w:rsidRPr="006524DF">
        <w:t xml:space="preserve">ýkres výztuže a </w:t>
      </w:r>
      <w:proofErr w:type="spellStart"/>
      <w:r w:rsidRPr="006524DF">
        <w:t>nakotvení</w:t>
      </w:r>
      <w:proofErr w:type="spellEnd"/>
      <w:r w:rsidRPr="006524DF">
        <w:t xml:space="preserve"> </w:t>
      </w:r>
      <w:proofErr w:type="spellStart"/>
      <w:r w:rsidRPr="006524DF">
        <w:t>dobetonovávky</w:t>
      </w:r>
      <w:proofErr w:type="spellEnd"/>
      <w:r w:rsidRPr="006524DF">
        <w:t xml:space="preserve"> </w:t>
      </w:r>
      <w:proofErr w:type="spellStart"/>
      <w:r w:rsidRPr="006524DF">
        <w:t>zhlaví</w:t>
      </w:r>
      <w:proofErr w:type="spellEnd"/>
      <w:r w:rsidRPr="006524DF">
        <w:t xml:space="preserve"> pilíře</w:t>
      </w:r>
    </w:p>
    <w:p w:rsidR="000220AD" w:rsidRPr="00C216D0" w:rsidRDefault="000220AD" w:rsidP="000220AD">
      <w:pPr>
        <w:ind w:left="720"/>
        <w:rPr>
          <w:color w:val="FF0000"/>
        </w:rPr>
      </w:pPr>
    </w:p>
    <w:p w:rsidR="001B3E8D" w:rsidRDefault="001B3E8D">
      <w:pPr>
        <w:spacing w:after="0"/>
        <w:jc w:val="left"/>
        <w:rPr>
          <w:b/>
          <w:sz w:val="28"/>
        </w:rPr>
      </w:pPr>
      <w:bookmarkStart w:id="64" w:name="_Toc357696662"/>
      <w:bookmarkStart w:id="65" w:name="_Toc329850403"/>
      <w:r>
        <w:br w:type="page"/>
      </w:r>
    </w:p>
    <w:p w:rsidR="00C6677D" w:rsidRPr="003C1E70" w:rsidRDefault="00C6677D" w:rsidP="00D75467">
      <w:pPr>
        <w:pStyle w:val="Nadpis2"/>
      </w:pPr>
      <w:bookmarkStart w:id="66" w:name="_Toc10212870"/>
      <w:r w:rsidRPr="003C1E70">
        <w:lastRenderedPageBreak/>
        <w:t>Přehled platných norem a předpisů</w:t>
      </w:r>
      <w:bookmarkEnd w:id="64"/>
      <w:bookmarkEnd w:id="65"/>
      <w:bookmarkEnd w:id="66"/>
    </w:p>
    <w:p w:rsidR="00D5573A" w:rsidRPr="003C1E70" w:rsidRDefault="00D5573A" w:rsidP="00D75467">
      <w:pPr>
        <w:pStyle w:val="Nadpis3"/>
      </w:pPr>
      <w:bookmarkStart w:id="67" w:name="_Toc280364723"/>
      <w:bookmarkStart w:id="68" w:name="_Toc10212871"/>
      <w:r w:rsidRPr="003C1E70">
        <w:t>Související normy</w:t>
      </w:r>
      <w:bookmarkEnd w:id="67"/>
      <w:bookmarkEnd w:id="68"/>
    </w:p>
    <w:p w:rsidR="001A2A8D" w:rsidRPr="003C1E70" w:rsidRDefault="001A2A8D" w:rsidP="00246F6E">
      <w:pPr>
        <w:pStyle w:val="odrkypuntk"/>
        <w:numPr>
          <w:ilvl w:val="0"/>
          <w:numId w:val="7"/>
        </w:numPr>
        <w:ind w:left="426" w:hanging="426"/>
        <w:jc w:val="both"/>
      </w:pPr>
      <w:r w:rsidRPr="003C1E70">
        <w:t>ČSN EN 13670 (73 2400), Provádění betonových konstrukcí,</w:t>
      </w:r>
      <w:r w:rsidRPr="003C1E70">
        <w:rPr>
          <w:b/>
        </w:rPr>
        <w:t xml:space="preserve"> </w:t>
      </w:r>
      <w:r w:rsidRPr="003C1E70">
        <w:t>Vydána: 6.2010  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>ČSN EN 206 Beton – Specifikace, vlastnosti, výroba a shoda, Vydána: 7.2014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>ČSN EN 197, Cement: Složení, technické podmínky a kritéria shody,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 xml:space="preserve">ČSN EN 1008, </w:t>
      </w:r>
      <w:proofErr w:type="spellStart"/>
      <w:r w:rsidRPr="003C1E70">
        <w:t>Záměsová</w:t>
      </w:r>
      <w:proofErr w:type="spellEnd"/>
      <w:r w:rsidRPr="003C1E70">
        <w:t xml:space="preserve"> voda do betonu,</w:t>
      </w:r>
    </w:p>
    <w:p w:rsidR="001A2A8D" w:rsidRPr="003C1E70" w:rsidRDefault="00AC74C7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9" w:tooltip="Detailní info" w:history="1">
        <w:r w:rsidR="001A2A8D" w:rsidRPr="003C1E70">
          <w:rPr>
            <w:rStyle w:val="Hypertextovodkaz"/>
            <w:color w:val="auto"/>
            <w:u w:val="none"/>
          </w:rPr>
          <w:t>ČSN EN 480-1+A1</w:t>
        </w:r>
      </w:hyperlink>
      <w:r w:rsidR="001A2A8D" w:rsidRPr="003C1E70">
        <w:t xml:space="preserve"> Přísady do betonu, malty a injektážní malty - Zkušební metody - Část 1: Referenční beton a referenční malta pro zkoušení,</w:t>
      </w:r>
    </w:p>
    <w:p w:rsidR="001A2A8D" w:rsidRPr="003C1E70" w:rsidRDefault="00AC74C7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0" w:tooltip="Detailní info" w:history="1">
        <w:r w:rsidR="001A2A8D" w:rsidRPr="003C1E70">
          <w:rPr>
            <w:rStyle w:val="Hypertextovodkaz"/>
            <w:color w:val="auto"/>
            <w:u w:val="none"/>
          </w:rPr>
          <w:t>ČSN EN 12350-1</w:t>
        </w:r>
      </w:hyperlink>
      <w:r w:rsidR="001A2A8D" w:rsidRPr="003C1E70">
        <w:t xml:space="preserve"> Zkoušení čerstvého betonu - Část 1: Odběr vzorků,</w:t>
      </w:r>
    </w:p>
    <w:p w:rsidR="001A2A8D" w:rsidRPr="003C1E70" w:rsidRDefault="00AC74C7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1" w:tooltip="Detailní info" w:history="1">
        <w:r w:rsidR="001A2A8D" w:rsidRPr="003C1E70">
          <w:rPr>
            <w:rStyle w:val="Hypertextovodkaz"/>
            <w:color w:val="auto"/>
            <w:u w:val="none"/>
          </w:rPr>
          <w:t>ČSN EN 12350-2</w:t>
        </w:r>
      </w:hyperlink>
      <w:r w:rsidR="001A2A8D" w:rsidRPr="003C1E70">
        <w:t xml:space="preserve"> Zkoušení čerstvého betonu - Část 2: Zkouška sednutím,</w:t>
      </w:r>
    </w:p>
    <w:p w:rsidR="001A2A8D" w:rsidRPr="003C1E70" w:rsidRDefault="00AC74C7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2" w:tooltip="Detailní info" w:history="1">
        <w:r w:rsidR="001A2A8D" w:rsidRPr="003C1E70">
          <w:rPr>
            <w:rStyle w:val="Hypertextovodkaz"/>
            <w:color w:val="auto"/>
            <w:u w:val="none"/>
          </w:rPr>
          <w:t>ČSN EN 12350-5</w:t>
        </w:r>
      </w:hyperlink>
      <w:r w:rsidR="001A2A8D" w:rsidRPr="003C1E70">
        <w:t xml:space="preserve"> Zkoušení čerstvého betonu - Část 5: Zkouška rozlitím,</w:t>
      </w:r>
    </w:p>
    <w:p w:rsidR="001A2A8D" w:rsidRPr="003C1E70" w:rsidRDefault="00AC74C7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3" w:tooltip="Detailní info" w:history="1">
        <w:r w:rsidR="001A2A8D" w:rsidRPr="003C1E70">
          <w:rPr>
            <w:rStyle w:val="Hypertextovodkaz"/>
            <w:color w:val="auto"/>
            <w:u w:val="none"/>
          </w:rPr>
          <w:t>ČSN EN 12350-6</w:t>
        </w:r>
      </w:hyperlink>
      <w:r w:rsidR="001A2A8D" w:rsidRPr="003C1E70">
        <w:t xml:space="preserve"> Zkoušení čerstvého betonu - Část 6: Objemová hmotnost,</w:t>
      </w:r>
    </w:p>
    <w:p w:rsidR="001A2A8D" w:rsidRPr="003C1E70" w:rsidRDefault="00AC74C7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4" w:tooltip="Detailní info" w:history="1">
        <w:r w:rsidR="001A2A8D" w:rsidRPr="003C1E70">
          <w:rPr>
            <w:rStyle w:val="Hypertextovodkaz"/>
            <w:color w:val="auto"/>
            <w:u w:val="none"/>
          </w:rPr>
          <w:t>ČSN EN 12390-4</w:t>
        </w:r>
      </w:hyperlink>
      <w:r w:rsidR="001A2A8D" w:rsidRPr="003C1E70">
        <w:t xml:space="preserve"> Zkoušení ztvrdlého betonu - Část 4: Pevnost v tlaku - Požadavky na zkušební lisy,</w:t>
      </w:r>
    </w:p>
    <w:p w:rsidR="001A2A8D" w:rsidRPr="003C1E70" w:rsidRDefault="00AC74C7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5" w:tooltip="Detailní info" w:history="1">
        <w:r w:rsidR="001A2A8D" w:rsidRPr="003C1E70">
          <w:rPr>
            <w:rStyle w:val="Hypertextovodkaz"/>
            <w:color w:val="auto"/>
            <w:u w:val="none"/>
          </w:rPr>
          <w:t>ČSN EN 12390-1</w:t>
        </w:r>
      </w:hyperlink>
      <w:r w:rsidR="001A2A8D" w:rsidRPr="003C1E70">
        <w:t xml:space="preserve"> Zkoušení ztvrdlého betonu - Část 1: Tvar, rozměry a jiné požadavky na zkušební tělesa a formy, </w:t>
      </w:r>
      <w:hyperlink r:id="rId16" w:tooltip="Detailní info" w:history="1">
        <w:proofErr w:type="gramStart"/>
        <w:r w:rsidR="001A2A8D" w:rsidRPr="003C1E70">
          <w:rPr>
            <w:rStyle w:val="Hypertextovodkaz"/>
            <w:color w:val="auto"/>
            <w:u w:val="none"/>
          </w:rPr>
          <w:t>Oprava : Opr</w:t>
        </w:r>
        <w:proofErr w:type="gramEnd"/>
        <w:r w:rsidR="001A2A8D" w:rsidRPr="003C1E70">
          <w:rPr>
            <w:rStyle w:val="Hypertextovodkaz"/>
            <w:color w:val="auto"/>
            <w:u w:val="none"/>
          </w:rPr>
          <w:t>.1 (Katalogové číslo: 75321)</w:t>
        </w:r>
      </w:hyperlink>
      <w:r w:rsidR="001A2A8D" w:rsidRPr="003C1E70">
        <w:t>,</w:t>
      </w:r>
    </w:p>
    <w:p w:rsidR="001A2A8D" w:rsidRPr="003C1E70" w:rsidRDefault="00AC74C7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7" w:tooltip="Detailní info" w:history="1">
        <w:r w:rsidR="001A2A8D" w:rsidRPr="003C1E70">
          <w:rPr>
            <w:rStyle w:val="Hypertextovodkaz"/>
            <w:color w:val="auto"/>
            <w:u w:val="none"/>
          </w:rPr>
          <w:t>ČSN EN 12390-2</w:t>
        </w:r>
      </w:hyperlink>
      <w:r w:rsidR="001A2A8D" w:rsidRPr="003C1E70">
        <w:t xml:space="preserve"> Zkoušení ztvrdlého betonu - Část 2: Výroba a ošetřování zkušebních těles pro zkoušky pevnosti,</w:t>
      </w:r>
    </w:p>
    <w:p w:rsidR="001A2A8D" w:rsidRPr="003C1E70" w:rsidRDefault="00AC74C7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8" w:tooltip="Detailní info" w:history="1">
        <w:r w:rsidR="001A2A8D" w:rsidRPr="003C1E70">
          <w:rPr>
            <w:rStyle w:val="Hypertextovodkaz"/>
            <w:color w:val="auto"/>
            <w:u w:val="none"/>
          </w:rPr>
          <w:t>ČSN EN 12390-3</w:t>
        </w:r>
      </w:hyperlink>
      <w:r w:rsidR="001A2A8D" w:rsidRPr="003C1E70">
        <w:t xml:space="preserve"> Zkoušení ztvrdlého betonu - Část 3: Pevnost v tlaku zkušebních těles</w:t>
      </w:r>
      <w:r w:rsidR="001A2A8D" w:rsidRPr="003C1E70">
        <w:br/>
      </w:r>
      <w:hyperlink r:id="rId19" w:tooltip="Detailní info" w:history="1">
        <w:proofErr w:type="gramStart"/>
        <w:r w:rsidR="001A2A8D" w:rsidRPr="003C1E70">
          <w:rPr>
            <w:rStyle w:val="Hypertextovodkaz"/>
            <w:color w:val="auto"/>
            <w:u w:val="none"/>
          </w:rPr>
          <w:t>Oprava : Opr</w:t>
        </w:r>
        <w:proofErr w:type="gramEnd"/>
        <w:r w:rsidR="001A2A8D" w:rsidRPr="003C1E70">
          <w:rPr>
            <w:rStyle w:val="Hypertextovodkaz"/>
            <w:color w:val="auto"/>
            <w:u w:val="none"/>
          </w:rPr>
          <w:t>.1 (Katalogové číslo: 89366)</w:t>
        </w:r>
      </w:hyperlink>
      <w:r w:rsidR="001A2A8D" w:rsidRPr="003C1E70">
        <w:t>,</w:t>
      </w:r>
    </w:p>
    <w:p w:rsidR="001A2A8D" w:rsidRPr="003C1E70" w:rsidRDefault="00AC74C7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20" w:tooltip="Detailní info" w:history="1">
        <w:r w:rsidR="001A2A8D" w:rsidRPr="003C1E70">
          <w:rPr>
            <w:rStyle w:val="Hypertextovodkaz"/>
            <w:color w:val="auto"/>
            <w:u w:val="none"/>
          </w:rPr>
          <w:t>ČSN EN 10080</w:t>
        </w:r>
      </w:hyperlink>
      <w:r w:rsidR="001A2A8D" w:rsidRPr="003C1E70">
        <w:t xml:space="preserve"> Ocel pro výztuž do betonu - Svařitelná betonářská ocel - Všeobecně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>Dovolené postupy svařování specifikuje ČSN EN ISO 17660 -1, Svařování - Svařování betonářské oceli - Část 1: Nosné svárové spoje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 xml:space="preserve">ČSN EN 1991-1-1, </w:t>
      </w:r>
      <w:proofErr w:type="spellStart"/>
      <w:r w:rsidRPr="003C1E70">
        <w:t>Eurokód</w:t>
      </w:r>
      <w:proofErr w:type="spellEnd"/>
      <w:r w:rsidRPr="003C1E70">
        <w:t xml:space="preserve"> 1: Zatížení konstrukcí - Část 1-1: Obecná zatížení - Objemové tíhy, vlastní tíha a užitná zatížení pozemních staveb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 xml:space="preserve">ČSN EN 1992-1-1, </w:t>
      </w:r>
      <w:proofErr w:type="spellStart"/>
      <w:r w:rsidRPr="003C1E70">
        <w:t>Eurokód</w:t>
      </w:r>
      <w:proofErr w:type="spellEnd"/>
      <w:r w:rsidRPr="003C1E70">
        <w:t xml:space="preserve"> 2: Navrhování betonových konstrukcí - Část 1-1: Obecná pravidla a pravidla pro pozemní stavby, Vydána: 11.2006, </w:t>
      </w:r>
      <w:hyperlink r:id="rId21" w:history="1">
        <w:r w:rsidRPr="003C1E70">
          <w:rPr>
            <w:rStyle w:val="Hypertextovodkaz"/>
            <w:color w:val="auto"/>
            <w:u w:val="none"/>
          </w:rPr>
          <w:t xml:space="preserve">Změna: NA </w:t>
        </w:r>
        <w:proofErr w:type="spellStart"/>
        <w:r w:rsidRPr="003C1E70">
          <w:rPr>
            <w:rStyle w:val="Hypertextovodkaz"/>
            <w:color w:val="auto"/>
            <w:u w:val="none"/>
          </w:rPr>
          <w:t>ed</w:t>
        </w:r>
        <w:proofErr w:type="spellEnd"/>
        <w:r w:rsidRPr="003C1E70">
          <w:rPr>
            <w:rStyle w:val="Hypertextovodkaz"/>
            <w:color w:val="auto"/>
            <w:u w:val="none"/>
          </w:rPr>
          <w:t>. A (Katalogové číslo: 79029)</w:t>
        </w:r>
      </w:hyperlink>
      <w:r w:rsidRPr="003C1E70">
        <w:t xml:space="preserve">, Vydána: 7.2007, </w:t>
      </w:r>
      <w:hyperlink r:id="rId22" w:history="1">
        <w:r w:rsidRPr="003C1E70">
          <w:rPr>
            <w:rStyle w:val="Hypertextovodkaz"/>
            <w:color w:val="auto"/>
            <w:u w:val="none"/>
          </w:rPr>
          <w:t>Oprava: Opr.1 (Katalogové číslo: 82662)</w:t>
        </w:r>
      </w:hyperlink>
      <w:r w:rsidRPr="003C1E70">
        <w:t xml:space="preserve">, Vydána: 7.2009, </w:t>
      </w:r>
      <w:hyperlink r:id="rId23" w:history="1">
        <w:r w:rsidRPr="003C1E70">
          <w:rPr>
            <w:rStyle w:val="Hypertextovodkaz"/>
            <w:color w:val="auto"/>
            <w:u w:val="none"/>
          </w:rPr>
          <w:t>Oprava: Opr.2 (Katalogové číslo: 88261)</w:t>
        </w:r>
      </w:hyperlink>
      <w:r w:rsidRPr="003C1E70">
        <w:t xml:space="preserve">, Vydána: 6.2011, </w:t>
      </w:r>
      <w:hyperlink r:id="rId24" w:history="1">
        <w:r w:rsidRPr="003C1E70">
          <w:rPr>
            <w:rStyle w:val="Hypertextovodkaz"/>
            <w:color w:val="auto"/>
            <w:u w:val="none"/>
          </w:rPr>
          <w:t>Změna: Z1 (Katalogové číslo: 85371)</w:t>
        </w:r>
      </w:hyperlink>
      <w:r w:rsidRPr="003C1E70">
        <w:t>, Vydána: 3.2010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 xml:space="preserve">ČSN EN 1997 </w:t>
      </w:r>
      <w:proofErr w:type="spellStart"/>
      <w:r w:rsidRPr="003C1E70">
        <w:t>Eurokód</w:t>
      </w:r>
      <w:proofErr w:type="spellEnd"/>
      <w:r w:rsidRPr="003C1E70">
        <w:t xml:space="preserve"> 7: Navrhování geotechnických konstrukcí - Část 1: Obecná pravidla, Vydána: 9.2006, </w:t>
      </w:r>
      <w:hyperlink r:id="rId25" w:history="1">
        <w:r w:rsidRPr="003C1E70">
          <w:rPr>
            <w:rStyle w:val="Hypertextovodkaz"/>
            <w:color w:val="auto"/>
            <w:u w:val="none"/>
          </w:rPr>
          <w:t xml:space="preserve">Změna: NA </w:t>
        </w:r>
        <w:proofErr w:type="spellStart"/>
        <w:r w:rsidRPr="003C1E70">
          <w:rPr>
            <w:rStyle w:val="Hypertextovodkaz"/>
            <w:color w:val="auto"/>
            <w:u w:val="none"/>
          </w:rPr>
          <w:t>ed</w:t>
        </w:r>
        <w:proofErr w:type="spellEnd"/>
        <w:r w:rsidRPr="003C1E70">
          <w:rPr>
            <w:rStyle w:val="Hypertextovodkaz"/>
            <w:color w:val="auto"/>
            <w:u w:val="none"/>
          </w:rPr>
          <w:t>. A (Katalogové číslo: 78274)</w:t>
        </w:r>
      </w:hyperlink>
      <w:r w:rsidRPr="003C1E70">
        <w:t xml:space="preserve"> Vydána: 4.2007, </w:t>
      </w:r>
      <w:hyperlink r:id="rId26" w:history="1">
        <w:r w:rsidRPr="003C1E70">
          <w:rPr>
            <w:rStyle w:val="Hypertextovodkaz"/>
            <w:color w:val="auto"/>
            <w:u w:val="none"/>
          </w:rPr>
          <w:t>Oprava: Opr.1 (Katalogové číslo: 84131)</w:t>
        </w:r>
      </w:hyperlink>
      <w:r w:rsidRPr="003C1E70">
        <w:t>, Vydána: 9.2009</w:t>
      </w:r>
    </w:p>
    <w:p w:rsidR="00346441" w:rsidRPr="00D5573A" w:rsidRDefault="00AC74C7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27" w:tooltip="(722634) ČSN EN 771-6" w:history="1">
        <w:r w:rsidR="00346441" w:rsidRPr="00D5573A">
          <w:rPr>
            <w:color w:val="000000"/>
          </w:rPr>
          <w:t>ČSN EN 771-6</w:t>
        </w:r>
      </w:hyperlink>
      <w:r w:rsidR="00346441" w:rsidRPr="00D5573A">
        <w:rPr>
          <w:color w:val="000000"/>
        </w:rPr>
        <w:t xml:space="preserve"> (722634)</w:t>
      </w:r>
      <w:r w:rsidR="00346441" w:rsidRPr="00D5573A">
        <w:rPr>
          <w:color w:val="000000"/>
        </w:rPr>
        <w:tab/>
        <w:t>Specifikace zdicích prvků - Část 6: Zdicí prvky z přírodního kamene</w:t>
      </w:r>
    </w:p>
    <w:p w:rsidR="00346441" w:rsidRPr="00D5573A" w:rsidRDefault="00AC74C7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28" w:tooltip="(722401) ČSN EN 998-2" w:history="1">
        <w:r w:rsidR="00346441" w:rsidRPr="00D5573A">
          <w:rPr>
            <w:color w:val="000000"/>
          </w:rPr>
          <w:t>ČSN EN 998-2</w:t>
        </w:r>
      </w:hyperlink>
      <w:r w:rsidR="00346441">
        <w:rPr>
          <w:color w:val="000000"/>
        </w:rPr>
        <w:t xml:space="preserve"> (722401)</w:t>
      </w:r>
      <w:r w:rsidR="00346441">
        <w:rPr>
          <w:color w:val="000000"/>
        </w:rPr>
        <w:tab/>
      </w:r>
      <w:r w:rsidR="00346441" w:rsidRPr="00D5573A">
        <w:rPr>
          <w:color w:val="000000"/>
        </w:rPr>
        <w:t>Specifikace malt pro zdivo - Část 2: Malty pro zdění</w:t>
      </w:r>
    </w:p>
    <w:p w:rsidR="00346441" w:rsidRPr="00D5573A" w:rsidRDefault="00AC74C7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29" w:tooltip="(721175) ČSN EN 1097-1" w:history="1">
        <w:r w:rsidR="00346441" w:rsidRPr="00D5573A">
          <w:rPr>
            <w:color w:val="000000"/>
          </w:rPr>
          <w:t>ČSN EN 1097-1</w:t>
        </w:r>
      </w:hyperlink>
      <w:r w:rsidR="00346441" w:rsidRPr="00D5573A">
        <w:rPr>
          <w:color w:val="000000"/>
        </w:rPr>
        <w:t xml:space="preserve"> (721175</w:t>
      </w:r>
      <w:r w:rsidR="00346441">
        <w:rPr>
          <w:color w:val="000000"/>
        </w:rPr>
        <w:t xml:space="preserve">) </w:t>
      </w:r>
      <w:r w:rsidR="00346441" w:rsidRPr="00D5573A">
        <w:rPr>
          <w:color w:val="000000"/>
        </w:rPr>
        <w:t>Zkoušení mechanických a fyzikálních vlastností kameniva - Část 1: Stanovení odolnosti proti otěru (mikro-</w:t>
      </w:r>
      <w:proofErr w:type="spellStart"/>
      <w:r w:rsidR="00346441" w:rsidRPr="00D5573A">
        <w:rPr>
          <w:color w:val="000000"/>
        </w:rPr>
        <w:t>Deval</w:t>
      </w:r>
      <w:proofErr w:type="spellEnd"/>
      <w:r w:rsidR="00346441" w:rsidRPr="00D5573A">
        <w:rPr>
          <w:color w:val="000000"/>
        </w:rPr>
        <w:t>)</w:t>
      </w:r>
    </w:p>
    <w:p w:rsidR="00346441" w:rsidRPr="00D5573A" w:rsidRDefault="00AC74C7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0" w:tooltip="(721142) ČSN EN 1926" w:history="1">
        <w:r w:rsidR="00346441" w:rsidRPr="00D5573A">
          <w:rPr>
            <w:color w:val="000000"/>
          </w:rPr>
          <w:t>ČSN EN 1926</w:t>
        </w:r>
      </w:hyperlink>
      <w:r w:rsidR="00346441" w:rsidRPr="00D5573A">
        <w:rPr>
          <w:color w:val="000000"/>
        </w:rPr>
        <w:t xml:space="preserve"> (721142</w:t>
      </w:r>
      <w:r w:rsidR="00346441">
        <w:rPr>
          <w:color w:val="000000"/>
        </w:rPr>
        <w:t xml:space="preserve">) </w:t>
      </w:r>
      <w:r w:rsidR="00346441" w:rsidRPr="00D5573A">
        <w:rPr>
          <w:color w:val="000000"/>
        </w:rPr>
        <w:t>Zkušební metody přírodního kamene - Stanovení pevnosti v prostém tlaku</w:t>
      </w:r>
    </w:p>
    <w:p w:rsidR="00346441" w:rsidRPr="00D5573A" w:rsidRDefault="00AC74C7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1" w:tooltip="(731101) ČSN EN 1996-2" w:history="1">
        <w:r w:rsidR="00346441" w:rsidRPr="00D5573A">
          <w:rPr>
            <w:color w:val="000000"/>
          </w:rPr>
          <w:t>ČSN EN 1996-2</w:t>
        </w:r>
      </w:hyperlink>
      <w:r w:rsidR="00346441" w:rsidRPr="00D5573A">
        <w:rPr>
          <w:color w:val="000000"/>
        </w:rPr>
        <w:t xml:space="preserve"> (731101)</w:t>
      </w:r>
      <w:r w:rsidR="00346441">
        <w:rPr>
          <w:color w:val="000000"/>
        </w:rPr>
        <w:t xml:space="preserve"> </w:t>
      </w:r>
      <w:proofErr w:type="spellStart"/>
      <w:r w:rsidR="00346441" w:rsidRPr="00D5573A">
        <w:rPr>
          <w:color w:val="000000"/>
        </w:rPr>
        <w:t>Eurokód</w:t>
      </w:r>
      <w:proofErr w:type="spellEnd"/>
      <w:r w:rsidR="00346441" w:rsidRPr="00D5573A">
        <w:rPr>
          <w:color w:val="000000"/>
        </w:rPr>
        <w:t xml:space="preserve"> 6: Navrhování zděných konstrukcí - Část 2: Volba materiálů, konstruování a provádění zdiva</w:t>
      </w:r>
    </w:p>
    <w:p w:rsidR="00346441" w:rsidRPr="00D5573A" w:rsidRDefault="00AC74C7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2" w:tooltip="(721507) ČSN EN 13383-1" w:history="1">
        <w:r w:rsidR="00346441" w:rsidRPr="00D5573A">
          <w:rPr>
            <w:color w:val="000000"/>
          </w:rPr>
          <w:t>ČSN EN 13383-1</w:t>
        </w:r>
      </w:hyperlink>
      <w:r w:rsidR="00346441" w:rsidRPr="00D5573A">
        <w:rPr>
          <w:color w:val="000000"/>
        </w:rPr>
        <w:t xml:space="preserve"> (721507)</w:t>
      </w:r>
      <w:r w:rsidR="00346441">
        <w:rPr>
          <w:color w:val="000000"/>
        </w:rPr>
        <w:t xml:space="preserve"> </w:t>
      </w:r>
      <w:r w:rsidR="00346441" w:rsidRPr="00D5573A">
        <w:rPr>
          <w:color w:val="000000"/>
        </w:rPr>
        <w:t>Kámen pro vodní stavby - Část 1: Specifikace</w:t>
      </w:r>
    </w:p>
    <w:p w:rsidR="00346441" w:rsidRPr="00D5573A" w:rsidRDefault="00AC74C7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3" w:tooltip="(721507) ČSN EN 13383-1" w:history="1">
        <w:r w:rsidR="00346441" w:rsidRPr="00D5573A">
          <w:rPr>
            <w:color w:val="000000"/>
          </w:rPr>
          <w:t>ČSN EN 13383-</w:t>
        </w:r>
      </w:hyperlink>
      <w:r w:rsidR="00346441" w:rsidRPr="00D5573A">
        <w:rPr>
          <w:color w:val="000000"/>
        </w:rPr>
        <w:t>2 (721507)</w:t>
      </w:r>
      <w:r w:rsidR="00346441">
        <w:rPr>
          <w:color w:val="000000"/>
        </w:rPr>
        <w:t xml:space="preserve"> </w:t>
      </w:r>
      <w:r w:rsidR="00346441" w:rsidRPr="00D5573A">
        <w:rPr>
          <w:color w:val="000000"/>
        </w:rPr>
        <w:t>Kámen pro vodní stavby - Část 2: Zkušební metody</w:t>
      </w:r>
    </w:p>
    <w:p w:rsidR="00346441" w:rsidRPr="00D5573A" w:rsidRDefault="00AC74C7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4" w:tooltip="(721151) ČSN 72 1151" w:history="1">
        <w:r w:rsidR="00346441" w:rsidRPr="00D5573A">
          <w:rPr>
            <w:color w:val="000000"/>
          </w:rPr>
          <w:t>ČSN 72 1151</w:t>
        </w:r>
      </w:hyperlink>
      <w:r w:rsidR="00346441" w:rsidRPr="00D5573A">
        <w:rPr>
          <w:color w:val="000000"/>
        </w:rPr>
        <w:t xml:space="preserve"> (721151)</w:t>
      </w:r>
      <w:r w:rsidR="00346441">
        <w:rPr>
          <w:color w:val="000000"/>
        </w:rPr>
        <w:t xml:space="preserve"> </w:t>
      </w:r>
      <w:r w:rsidR="00346441" w:rsidRPr="00D5573A">
        <w:rPr>
          <w:color w:val="000000"/>
        </w:rPr>
        <w:t>Zkoušení přírodního stavebního kamene. Základní ustanovení</w:t>
      </w:r>
    </w:p>
    <w:p w:rsidR="00346441" w:rsidRPr="00D5573A" w:rsidRDefault="00AC74C7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5" w:tooltip="(721800) ČSN 72 1800" w:history="1">
        <w:r w:rsidR="00346441" w:rsidRPr="00D5573A">
          <w:rPr>
            <w:color w:val="000000"/>
          </w:rPr>
          <w:t>ČSN 72 1800</w:t>
        </w:r>
      </w:hyperlink>
      <w:r w:rsidR="00346441" w:rsidRPr="00D5573A">
        <w:rPr>
          <w:color w:val="000000"/>
        </w:rPr>
        <w:t xml:space="preserve"> (72 1800)</w:t>
      </w:r>
      <w:r w:rsidR="00346441">
        <w:rPr>
          <w:color w:val="000000"/>
        </w:rPr>
        <w:t xml:space="preserve"> </w:t>
      </w:r>
      <w:r w:rsidR="00346441" w:rsidRPr="00D5573A">
        <w:rPr>
          <w:color w:val="000000"/>
        </w:rPr>
        <w:t>Přírodní stavební kámen pro kamenické výrobky. Technické požadavky</w:t>
      </w:r>
    </w:p>
    <w:p w:rsidR="00346441" w:rsidRPr="00D5573A" w:rsidRDefault="00AC74C7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6" w:tooltip="(721860) ČSN 72 1860" w:history="1">
        <w:r w:rsidR="00346441" w:rsidRPr="00D5573A">
          <w:rPr>
            <w:color w:val="000000"/>
          </w:rPr>
          <w:t>ČSN 72 1860</w:t>
        </w:r>
      </w:hyperlink>
      <w:r w:rsidR="00346441" w:rsidRPr="00D5573A">
        <w:rPr>
          <w:color w:val="000000"/>
        </w:rPr>
        <w:t xml:space="preserve"> (721860)</w:t>
      </w:r>
      <w:r w:rsidR="00346441">
        <w:rPr>
          <w:color w:val="000000"/>
        </w:rPr>
        <w:t xml:space="preserve"> </w:t>
      </w:r>
      <w:r w:rsidR="00346441" w:rsidRPr="00D5573A">
        <w:rPr>
          <w:color w:val="000000"/>
        </w:rPr>
        <w:t>Kámen pro zdivo a stavební účely. Společná ustanovení</w:t>
      </w:r>
    </w:p>
    <w:p w:rsidR="00FF6F9F" w:rsidRPr="00FF6F9F" w:rsidRDefault="00FF6F9F" w:rsidP="00FF6F9F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bookmarkStart w:id="69" w:name="_Toc279937707"/>
      <w:bookmarkStart w:id="70" w:name="_Toc280364724"/>
      <w:r w:rsidRPr="00FF6F9F">
        <w:rPr>
          <w:color w:val="000000"/>
        </w:rPr>
        <w:lastRenderedPageBreak/>
        <w:t>ČSN EN 12715 Provádění speciálních geotechnických prací – Injektáže.</w:t>
      </w:r>
    </w:p>
    <w:p w:rsidR="00FF6F9F" w:rsidRDefault="00FF6F9F" w:rsidP="00FF6F9F"/>
    <w:p w:rsidR="00D5573A" w:rsidRPr="003C1E70" w:rsidRDefault="00D5573A" w:rsidP="00D75467">
      <w:pPr>
        <w:pStyle w:val="Nadpis3"/>
      </w:pPr>
      <w:bookmarkStart w:id="71" w:name="_Toc10212872"/>
      <w:r w:rsidRPr="003C1E70">
        <w:t>Právní předpisy</w:t>
      </w:r>
      <w:bookmarkEnd w:id="69"/>
      <w:bookmarkEnd w:id="70"/>
      <w:bookmarkEnd w:id="71"/>
    </w:p>
    <w:p w:rsidR="00D5573A" w:rsidRPr="003C1E70" w:rsidRDefault="00D5573A" w:rsidP="00D5573A">
      <w:r w:rsidRPr="003C1E70">
        <w:t>Zákon č. 17/1992 Sb., o životním prostředí, ve znění pozdějších předpisů</w:t>
      </w:r>
    </w:p>
    <w:p w:rsidR="00D5573A" w:rsidRPr="003C1E70" w:rsidRDefault="00D5573A" w:rsidP="00D5573A">
      <w:r w:rsidRPr="003C1E70">
        <w:t>Zákon č. 22/1997 Sb., o technických požadavcích na výrobky a o změně a doplnění některých zákonů</w:t>
      </w:r>
    </w:p>
    <w:p w:rsidR="00D5573A" w:rsidRPr="003C1E70" w:rsidRDefault="00D5573A" w:rsidP="00D5573A">
      <w:r w:rsidRPr="003C1E70">
        <w:t>Zákon č. 86/2002 Sb., o ochraně ovzduší, ve znění pozdějších předpisů</w:t>
      </w:r>
    </w:p>
    <w:p w:rsidR="00D5573A" w:rsidRPr="003C1E70" w:rsidRDefault="00D5573A" w:rsidP="00D5573A">
      <w:r w:rsidRPr="003C1E70">
        <w:t>Zákon č. 100/2001 Sb., o posuzování vlivů na životní prostředí, ve znění pozdějších předpisů</w:t>
      </w:r>
    </w:p>
    <w:p w:rsidR="00D5573A" w:rsidRPr="003C1E70" w:rsidRDefault="00D5573A" w:rsidP="00D5573A">
      <w:r w:rsidRPr="003C1E70">
        <w:t>Zákon ČNR č. 114/1992 Sb., o ochraně přírody a krajiny, ve znění pozdějších předpisů</w:t>
      </w:r>
    </w:p>
    <w:p w:rsidR="00D5573A" w:rsidRPr="003C1E70" w:rsidRDefault="00D5573A" w:rsidP="00D5573A">
      <w:r w:rsidRPr="003C1E70">
        <w:t>Zákon č. 185/2001 Sb., o odpadech a o změně některých dalších zákonů, ve znění pozdějších předpisů</w:t>
      </w:r>
    </w:p>
    <w:p w:rsidR="00D5573A" w:rsidRPr="003C1E70" w:rsidRDefault="00D5573A" w:rsidP="00D5573A">
      <w:r w:rsidRPr="003C1E70">
        <w:t>Zákon č. 254/2001 Sb., o vodách a o změně některých zákonů (vodní zákon), ve znění pozdějších předpisů</w:t>
      </w:r>
    </w:p>
    <w:p w:rsidR="00D5573A" w:rsidRPr="003C1E70" w:rsidRDefault="00D5573A" w:rsidP="00D5573A">
      <w:r w:rsidRPr="003C1E70">
        <w:t>Zákon č. 258/2000 Sb., o ochraně veřejného zdraví a o změně některých souvisejících zákonů, ve znění pozdějších předpisů</w:t>
      </w:r>
    </w:p>
    <w:p w:rsidR="00D5573A" w:rsidRPr="003C1E70" w:rsidRDefault="00D5573A" w:rsidP="00D5573A">
      <w:r w:rsidRPr="003C1E70">
        <w:t>Zákon č. 59/2006 Sb., o prevenci závažných havárií, ve znění pozdějších předpisů</w:t>
      </w:r>
    </w:p>
    <w:p w:rsidR="00D5573A" w:rsidRPr="003C1E70" w:rsidRDefault="00D5573A" w:rsidP="00D5573A">
      <w:r w:rsidRPr="003C1E70">
        <w:t>Nařízení vlády č. 148/2006 Sb., o ochraně zdraví před nepříznivými účinky hluku a vibrací</w:t>
      </w:r>
    </w:p>
    <w:p w:rsidR="00D5573A" w:rsidRPr="003C1E70" w:rsidRDefault="00D5573A" w:rsidP="00D5573A">
      <w:r w:rsidRPr="003C1E70">
        <w:t>Nařízení vlády č. 163/2002 Sb., kterým se stanoví technické požadavky na vybrané stavební výrobky ve znění pozdějších předpisů</w:t>
      </w:r>
    </w:p>
    <w:p w:rsidR="00D5573A" w:rsidRPr="003C1E70" w:rsidRDefault="00D5573A" w:rsidP="00D5573A">
      <w:r w:rsidRPr="003C1E70">
        <w:t>Nařízení vlády č. 190/2002 Sb., kterým se stanoví technické požadavky na stavební výrobky označované CE, ve znění pozdějších předpisů</w:t>
      </w:r>
    </w:p>
    <w:p w:rsidR="00046B9F" w:rsidRPr="003C1E70" w:rsidRDefault="00D5573A" w:rsidP="00046B9F">
      <w:r w:rsidRPr="003C1E70">
        <w:t>Vyhláška MŽP č. 383/2001 Sb., o podrobnostech nakládání s</w:t>
      </w:r>
      <w:r w:rsidR="000220AD" w:rsidRPr="003C1E70">
        <w:t> </w:t>
      </w:r>
      <w:r w:rsidRPr="003C1E70">
        <w:t>odpady</w:t>
      </w:r>
    </w:p>
    <w:p w:rsidR="000220AD" w:rsidRPr="003C1E70" w:rsidRDefault="000220AD" w:rsidP="00046B9F">
      <w:r w:rsidRPr="003C1E70">
        <w:t>Vyhláška č. 471/2001 Sb., o TBD nad vodními díly, ve znění vyhlášky č. 255/2010 Sb.</w:t>
      </w:r>
    </w:p>
    <w:sectPr w:rsidR="000220AD" w:rsidRPr="003C1E70" w:rsidSect="00954FF4">
      <w:headerReference w:type="even" r:id="rId37"/>
      <w:headerReference w:type="default" r:id="rId38"/>
      <w:footerReference w:type="default" r:id="rId39"/>
      <w:pgSz w:w="11907" w:h="16840" w:code="9"/>
      <w:pgMar w:top="1559" w:right="1134" w:bottom="1559" w:left="1134" w:header="567" w:footer="760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4C7" w:rsidRDefault="00AC74C7">
      <w:r>
        <w:separator/>
      </w:r>
    </w:p>
    <w:p w:rsidR="00AC74C7" w:rsidRDefault="00AC74C7"/>
    <w:p w:rsidR="00AC74C7" w:rsidRDefault="00AC74C7"/>
    <w:p w:rsidR="00AC74C7" w:rsidRDefault="00AC74C7"/>
  </w:endnote>
  <w:endnote w:type="continuationSeparator" w:id="0">
    <w:p w:rsidR="00AC74C7" w:rsidRDefault="00AC74C7">
      <w:r>
        <w:continuationSeparator/>
      </w:r>
    </w:p>
    <w:p w:rsidR="00AC74C7" w:rsidRDefault="00AC74C7"/>
    <w:p w:rsidR="00AC74C7" w:rsidRDefault="00AC74C7"/>
    <w:p w:rsidR="00AC74C7" w:rsidRDefault="00AC74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9CC" w:rsidRDefault="00AB79CC">
    <w:pPr>
      <w:pStyle w:val="Zpat"/>
    </w:pPr>
    <w:r>
      <w:t>VODNÍ DÍLA - TBD a.s.</w:t>
    </w:r>
    <w:r>
      <w:tab/>
    </w:r>
    <w:r>
      <w:tab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E60A09">
      <w:rPr>
        <w:noProof/>
      </w:rPr>
      <w:t>6</w:t>
    </w:r>
    <w:r>
      <w:fldChar w:fldCharType="end"/>
    </w:r>
    <w:bookmarkStart w:id="72" w:name="_Toc382725287"/>
    <w:bookmarkStart w:id="73" w:name="_Toc382725762"/>
    <w:bookmarkStart w:id="74" w:name="_Toc401316801"/>
    <w:bookmarkStart w:id="75" w:name="_Toc492458467"/>
    <w:bookmarkStart w:id="76" w:name="_Toc525381848"/>
    <w:bookmarkEnd w:id="72"/>
    <w:bookmarkEnd w:id="73"/>
    <w:bookmarkEnd w:id="74"/>
    <w:bookmarkEnd w:id="75"/>
    <w:bookmarkEnd w:id="7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4C7" w:rsidRDefault="00AC74C7">
      <w:r>
        <w:separator/>
      </w:r>
    </w:p>
    <w:p w:rsidR="00AC74C7" w:rsidRDefault="00AC74C7"/>
    <w:p w:rsidR="00AC74C7" w:rsidRDefault="00AC74C7"/>
    <w:p w:rsidR="00AC74C7" w:rsidRDefault="00AC74C7"/>
  </w:footnote>
  <w:footnote w:type="continuationSeparator" w:id="0">
    <w:p w:rsidR="00AC74C7" w:rsidRDefault="00AC74C7">
      <w:r>
        <w:continuationSeparator/>
      </w:r>
    </w:p>
    <w:p w:rsidR="00AC74C7" w:rsidRDefault="00AC74C7"/>
    <w:p w:rsidR="00AC74C7" w:rsidRDefault="00AC74C7"/>
    <w:p w:rsidR="00AC74C7" w:rsidRDefault="00AC74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9CC" w:rsidRDefault="00AB79CC"/>
  <w:p w:rsidR="00AB79CC" w:rsidRDefault="00AB79CC"/>
  <w:p w:rsidR="00AB79CC" w:rsidRDefault="00AB79CC"/>
  <w:p w:rsidR="00AB79CC" w:rsidRDefault="00AB79C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9CC" w:rsidRDefault="00AB79CC" w:rsidP="007B66EC">
    <w:pPr>
      <w:pStyle w:val="Zhlav"/>
      <w:spacing w:after="0"/>
    </w:pPr>
    <w:r>
      <w:t>Jez Varnsdorf – sanace průsaků ve středovém pilíři</w:t>
    </w:r>
  </w:p>
  <w:p w:rsidR="00AB79CC" w:rsidRDefault="00AB79CC" w:rsidP="007B66EC">
    <w:pPr>
      <w:pStyle w:val="Zhlav"/>
      <w:spacing w:before="0"/>
    </w:pPr>
    <w:r>
      <w:t xml:space="preserve">SO 01: Sanace </w:t>
    </w:r>
    <w:proofErr w:type="spellStart"/>
    <w:r>
      <w:t>mezipilíře</w:t>
    </w:r>
    <w:proofErr w:type="spellEnd"/>
    <w:r>
      <w:t xml:space="preserve">               </w:t>
    </w:r>
    <w:r>
      <w:tab/>
      <w:t>DSJ (DSP, DPS)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48EFA8E"/>
    <w:lvl w:ilvl="0">
      <w:start w:val="1"/>
      <w:numFmt w:val="none"/>
      <w:pStyle w:val="Nadpis1"/>
      <w:lvlText w:val="D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D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D.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D.%2.%3.%4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D.%2.%3.%4.%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D.%2.%3.%4.%5.%6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pStyle w:val="odrkypunt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346DFD"/>
    <w:multiLevelType w:val="hybridMultilevel"/>
    <w:tmpl w:val="315E5458"/>
    <w:lvl w:ilvl="0" w:tplc="550E730A">
      <w:start w:val="1"/>
      <w:numFmt w:val="bullet"/>
      <w:pStyle w:val="Odrkybezmezery"/>
      <w:lvlText w:val=""/>
      <w:lvlJc w:val="left"/>
      <w:pPr>
        <w:tabs>
          <w:tab w:val="num" w:pos="4046"/>
        </w:tabs>
        <w:ind w:left="4046" w:hanging="360"/>
      </w:pPr>
      <w:rPr>
        <w:rFonts w:ascii="Symbol" w:hAnsi="Symbol" w:hint="default"/>
      </w:rPr>
    </w:lvl>
    <w:lvl w:ilvl="1" w:tplc="C3E22838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63B80C5C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6B18F4F4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8F6A64C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4DD69E3C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D75A5872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9530F4D4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1B888692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3" w15:restartNumberingAfterBreak="0">
    <w:nsid w:val="08C52DFA"/>
    <w:multiLevelType w:val="hybridMultilevel"/>
    <w:tmpl w:val="D9D69DF0"/>
    <w:lvl w:ilvl="0" w:tplc="53F68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47109"/>
    <w:multiLevelType w:val="singleLevel"/>
    <w:tmpl w:val="72E098FA"/>
    <w:name w:val="WW8Num3"/>
    <w:lvl w:ilvl="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C8926C3"/>
    <w:multiLevelType w:val="hybridMultilevel"/>
    <w:tmpl w:val="A1BC3B3E"/>
    <w:lvl w:ilvl="0" w:tplc="FFFFFFFF">
      <w:numFmt w:val="bullet"/>
      <w:lvlText w:val="-"/>
      <w:lvlJc w:val="left"/>
      <w:pPr>
        <w:ind w:left="126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6" w15:restartNumberingAfterBreak="0">
    <w:nsid w:val="18825839"/>
    <w:multiLevelType w:val="hybridMultilevel"/>
    <w:tmpl w:val="DFAC5C0A"/>
    <w:lvl w:ilvl="0" w:tplc="55C491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51CCF"/>
    <w:multiLevelType w:val="singleLevel"/>
    <w:tmpl w:val="3A006A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284C3465"/>
    <w:multiLevelType w:val="hybridMultilevel"/>
    <w:tmpl w:val="B7F8421E"/>
    <w:lvl w:ilvl="0" w:tplc="64E66652">
      <w:start w:val="2"/>
      <w:numFmt w:val="decimal"/>
      <w:lvlText w:val="%1)"/>
      <w:lvlJc w:val="left"/>
      <w:pPr>
        <w:tabs>
          <w:tab w:val="num" w:pos="4470"/>
        </w:tabs>
        <w:ind w:left="44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3F3B77"/>
    <w:multiLevelType w:val="hybridMultilevel"/>
    <w:tmpl w:val="F45E8432"/>
    <w:lvl w:ilvl="0" w:tplc="FFFFFFFF">
      <w:start w:val="1"/>
      <w:numFmt w:val="decimal"/>
      <w:pStyle w:val="Odrkyslovan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10" w15:restartNumberingAfterBreak="0">
    <w:nsid w:val="34001A9F"/>
    <w:multiLevelType w:val="multilevel"/>
    <w:tmpl w:val="93C0C3D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6993F74"/>
    <w:multiLevelType w:val="hybridMultilevel"/>
    <w:tmpl w:val="D13C7A06"/>
    <w:lvl w:ilvl="0" w:tplc="B2587C5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3C22BA"/>
    <w:multiLevelType w:val="hybridMultilevel"/>
    <w:tmpl w:val="CCF43CFC"/>
    <w:lvl w:ilvl="0" w:tplc="F1AAA70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1654C9"/>
    <w:multiLevelType w:val="singleLevel"/>
    <w:tmpl w:val="4A9A6A64"/>
    <w:lvl w:ilvl="0">
      <w:start w:val="1"/>
      <w:numFmt w:val="bullet"/>
      <w:pStyle w:val="odrky"/>
      <w:lvlText w:val="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14" w15:restartNumberingAfterBreak="0">
    <w:nsid w:val="774B56D7"/>
    <w:multiLevelType w:val="singleLevel"/>
    <w:tmpl w:val="5F022AF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9"/>
  </w:num>
  <w:num w:numId="5">
    <w:abstractNumId w:val="13"/>
  </w:num>
  <w:num w:numId="6">
    <w:abstractNumId w:val="1"/>
  </w:num>
  <w:num w:numId="7">
    <w:abstractNumId w:val="5"/>
  </w:num>
  <w:num w:numId="8">
    <w:abstractNumId w:val="12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3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6"/>
  </w:num>
  <w:num w:numId="26">
    <w:abstractNumId w:val="11"/>
  </w:num>
  <w:num w:numId="27">
    <w:abstractNumId w:val="0"/>
  </w:num>
  <w:num w:numId="28">
    <w:abstractNumId w:val="0"/>
  </w:num>
  <w:num w:numId="29">
    <w:abstractNumId w:val="7"/>
  </w:num>
  <w:num w:numId="30">
    <w:abstractNumId w:val="1"/>
  </w:num>
  <w:num w:numId="31">
    <w:abstractNumId w:val="8"/>
  </w:num>
  <w:num w:numId="32">
    <w:abstractNumId w:val="0"/>
  </w:num>
  <w:num w:numId="33">
    <w:abstractNumId w:val="0"/>
  </w:num>
  <w:num w:numId="34">
    <w:abstractNumId w:val="10"/>
  </w:num>
  <w:num w:numId="35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8C"/>
    <w:rsid w:val="000014CA"/>
    <w:rsid w:val="00005FE7"/>
    <w:rsid w:val="000150D9"/>
    <w:rsid w:val="00017FB7"/>
    <w:rsid w:val="000208A4"/>
    <w:rsid w:val="00020B48"/>
    <w:rsid w:val="00020E85"/>
    <w:rsid w:val="000220AD"/>
    <w:rsid w:val="000239E5"/>
    <w:rsid w:val="000309DA"/>
    <w:rsid w:val="000324CD"/>
    <w:rsid w:val="00033002"/>
    <w:rsid w:val="000333BD"/>
    <w:rsid w:val="000337FC"/>
    <w:rsid w:val="000343F0"/>
    <w:rsid w:val="00034F7E"/>
    <w:rsid w:val="0004315B"/>
    <w:rsid w:val="00046B9F"/>
    <w:rsid w:val="0005157E"/>
    <w:rsid w:val="0005477D"/>
    <w:rsid w:val="000565C1"/>
    <w:rsid w:val="00057A5D"/>
    <w:rsid w:val="000664F0"/>
    <w:rsid w:val="00066F91"/>
    <w:rsid w:val="0007480A"/>
    <w:rsid w:val="00076DAC"/>
    <w:rsid w:val="00080591"/>
    <w:rsid w:val="00080D8D"/>
    <w:rsid w:val="00086DFE"/>
    <w:rsid w:val="00094A6B"/>
    <w:rsid w:val="00097655"/>
    <w:rsid w:val="00097B06"/>
    <w:rsid w:val="000A2950"/>
    <w:rsid w:val="000B68B5"/>
    <w:rsid w:val="000B6ACA"/>
    <w:rsid w:val="000D1665"/>
    <w:rsid w:val="000D46ED"/>
    <w:rsid w:val="000D48A4"/>
    <w:rsid w:val="000D5456"/>
    <w:rsid w:val="000E1977"/>
    <w:rsid w:val="000F242B"/>
    <w:rsid w:val="000F634D"/>
    <w:rsid w:val="000F7598"/>
    <w:rsid w:val="00100378"/>
    <w:rsid w:val="00102023"/>
    <w:rsid w:val="0010322A"/>
    <w:rsid w:val="00107BE5"/>
    <w:rsid w:val="00110448"/>
    <w:rsid w:val="00122FB6"/>
    <w:rsid w:val="001239C8"/>
    <w:rsid w:val="00127451"/>
    <w:rsid w:val="0013314E"/>
    <w:rsid w:val="001354F0"/>
    <w:rsid w:val="0014325D"/>
    <w:rsid w:val="00145BF9"/>
    <w:rsid w:val="00146A70"/>
    <w:rsid w:val="00155430"/>
    <w:rsid w:val="00163619"/>
    <w:rsid w:val="00163781"/>
    <w:rsid w:val="0016570C"/>
    <w:rsid w:val="001666CE"/>
    <w:rsid w:val="00167105"/>
    <w:rsid w:val="00170AD8"/>
    <w:rsid w:val="001742B1"/>
    <w:rsid w:val="00181EB5"/>
    <w:rsid w:val="00187AFB"/>
    <w:rsid w:val="0019203B"/>
    <w:rsid w:val="00192D9A"/>
    <w:rsid w:val="00194948"/>
    <w:rsid w:val="001A042A"/>
    <w:rsid w:val="001A2A8D"/>
    <w:rsid w:val="001A51CE"/>
    <w:rsid w:val="001A6DA0"/>
    <w:rsid w:val="001A7846"/>
    <w:rsid w:val="001B0E37"/>
    <w:rsid w:val="001B26D9"/>
    <w:rsid w:val="001B318E"/>
    <w:rsid w:val="001B3E8D"/>
    <w:rsid w:val="001D04C2"/>
    <w:rsid w:val="001D142C"/>
    <w:rsid w:val="001D2042"/>
    <w:rsid w:val="001D4181"/>
    <w:rsid w:val="001D44CF"/>
    <w:rsid w:val="001D5748"/>
    <w:rsid w:val="001F185A"/>
    <w:rsid w:val="001F3E1F"/>
    <w:rsid w:val="001F55B4"/>
    <w:rsid w:val="001F5DF9"/>
    <w:rsid w:val="001F72EB"/>
    <w:rsid w:val="001F7E22"/>
    <w:rsid w:val="0020057B"/>
    <w:rsid w:val="00200D9D"/>
    <w:rsid w:val="00205198"/>
    <w:rsid w:val="00205633"/>
    <w:rsid w:val="00206366"/>
    <w:rsid w:val="002115EC"/>
    <w:rsid w:val="00212C1B"/>
    <w:rsid w:val="002131A9"/>
    <w:rsid w:val="0021693D"/>
    <w:rsid w:val="0022015F"/>
    <w:rsid w:val="002246A1"/>
    <w:rsid w:val="00233CFA"/>
    <w:rsid w:val="00234210"/>
    <w:rsid w:val="002346DD"/>
    <w:rsid w:val="00235129"/>
    <w:rsid w:val="002353C1"/>
    <w:rsid w:val="00245D18"/>
    <w:rsid w:val="00246F6E"/>
    <w:rsid w:val="00260738"/>
    <w:rsid w:val="00261A39"/>
    <w:rsid w:val="00271E14"/>
    <w:rsid w:val="002730AF"/>
    <w:rsid w:val="0027710C"/>
    <w:rsid w:val="002872D9"/>
    <w:rsid w:val="00290DAD"/>
    <w:rsid w:val="002965FD"/>
    <w:rsid w:val="00296ED3"/>
    <w:rsid w:val="002970D8"/>
    <w:rsid w:val="002A58AE"/>
    <w:rsid w:val="002C30EC"/>
    <w:rsid w:val="002C42D4"/>
    <w:rsid w:val="002C74E6"/>
    <w:rsid w:val="002C780B"/>
    <w:rsid w:val="002C7E35"/>
    <w:rsid w:val="002D159F"/>
    <w:rsid w:val="002E5EB8"/>
    <w:rsid w:val="002F2A7B"/>
    <w:rsid w:val="002F4055"/>
    <w:rsid w:val="002F6D17"/>
    <w:rsid w:val="003000B8"/>
    <w:rsid w:val="0030185A"/>
    <w:rsid w:val="00301DE4"/>
    <w:rsid w:val="00302117"/>
    <w:rsid w:val="003050F0"/>
    <w:rsid w:val="00306CF1"/>
    <w:rsid w:val="00311500"/>
    <w:rsid w:val="00313925"/>
    <w:rsid w:val="0031453D"/>
    <w:rsid w:val="00317106"/>
    <w:rsid w:val="00321EE6"/>
    <w:rsid w:val="00331555"/>
    <w:rsid w:val="00331F8C"/>
    <w:rsid w:val="0033267D"/>
    <w:rsid w:val="00336577"/>
    <w:rsid w:val="00337551"/>
    <w:rsid w:val="00342EF2"/>
    <w:rsid w:val="00342FD2"/>
    <w:rsid w:val="003439F5"/>
    <w:rsid w:val="00344CD2"/>
    <w:rsid w:val="0034642A"/>
    <w:rsid w:val="00346441"/>
    <w:rsid w:val="00354FDB"/>
    <w:rsid w:val="003569AA"/>
    <w:rsid w:val="003569AF"/>
    <w:rsid w:val="003663BB"/>
    <w:rsid w:val="00372A16"/>
    <w:rsid w:val="00374327"/>
    <w:rsid w:val="00374907"/>
    <w:rsid w:val="00377511"/>
    <w:rsid w:val="0037766C"/>
    <w:rsid w:val="00381076"/>
    <w:rsid w:val="00385D15"/>
    <w:rsid w:val="00386491"/>
    <w:rsid w:val="003B6EEA"/>
    <w:rsid w:val="003C1E70"/>
    <w:rsid w:val="003C3867"/>
    <w:rsid w:val="003D1E22"/>
    <w:rsid w:val="003D2271"/>
    <w:rsid w:val="003E275A"/>
    <w:rsid w:val="003E7356"/>
    <w:rsid w:val="003F54AD"/>
    <w:rsid w:val="003F69EC"/>
    <w:rsid w:val="003F7555"/>
    <w:rsid w:val="00400A60"/>
    <w:rsid w:val="00401C70"/>
    <w:rsid w:val="004022AD"/>
    <w:rsid w:val="004040AA"/>
    <w:rsid w:val="004052DB"/>
    <w:rsid w:val="0040546A"/>
    <w:rsid w:val="00406E5F"/>
    <w:rsid w:val="0041116B"/>
    <w:rsid w:val="0041429E"/>
    <w:rsid w:val="00414ACD"/>
    <w:rsid w:val="004163A5"/>
    <w:rsid w:val="00434484"/>
    <w:rsid w:val="004379D6"/>
    <w:rsid w:val="00442EBE"/>
    <w:rsid w:val="00443701"/>
    <w:rsid w:val="00446975"/>
    <w:rsid w:val="00460B17"/>
    <w:rsid w:val="004628BB"/>
    <w:rsid w:val="004638D0"/>
    <w:rsid w:val="00465009"/>
    <w:rsid w:val="00470F37"/>
    <w:rsid w:val="004713F1"/>
    <w:rsid w:val="004717BE"/>
    <w:rsid w:val="0047361D"/>
    <w:rsid w:val="00480A22"/>
    <w:rsid w:val="00485DDF"/>
    <w:rsid w:val="00485FD0"/>
    <w:rsid w:val="00487F76"/>
    <w:rsid w:val="00494288"/>
    <w:rsid w:val="004943D4"/>
    <w:rsid w:val="004950C4"/>
    <w:rsid w:val="00495753"/>
    <w:rsid w:val="004A509E"/>
    <w:rsid w:val="004B410E"/>
    <w:rsid w:val="004B45A4"/>
    <w:rsid w:val="004B7B0D"/>
    <w:rsid w:val="004C11B1"/>
    <w:rsid w:val="004C439F"/>
    <w:rsid w:val="004C6300"/>
    <w:rsid w:val="004C7418"/>
    <w:rsid w:val="004D6898"/>
    <w:rsid w:val="004D74FD"/>
    <w:rsid w:val="004E4168"/>
    <w:rsid w:val="004E6D09"/>
    <w:rsid w:val="004E7F75"/>
    <w:rsid w:val="004F4BAC"/>
    <w:rsid w:val="00505B55"/>
    <w:rsid w:val="005068C4"/>
    <w:rsid w:val="005124B3"/>
    <w:rsid w:val="00512CE8"/>
    <w:rsid w:val="00513F7D"/>
    <w:rsid w:val="00521C73"/>
    <w:rsid w:val="005221ED"/>
    <w:rsid w:val="00522464"/>
    <w:rsid w:val="00525B82"/>
    <w:rsid w:val="005266B6"/>
    <w:rsid w:val="00527F84"/>
    <w:rsid w:val="00530AE2"/>
    <w:rsid w:val="0054050B"/>
    <w:rsid w:val="00546A92"/>
    <w:rsid w:val="0055195D"/>
    <w:rsid w:val="00553CB5"/>
    <w:rsid w:val="00556DE1"/>
    <w:rsid w:val="00557ACB"/>
    <w:rsid w:val="00560702"/>
    <w:rsid w:val="005666A2"/>
    <w:rsid w:val="005671F4"/>
    <w:rsid w:val="00570D2F"/>
    <w:rsid w:val="00575381"/>
    <w:rsid w:val="005777E0"/>
    <w:rsid w:val="00583127"/>
    <w:rsid w:val="00593179"/>
    <w:rsid w:val="005A5209"/>
    <w:rsid w:val="005A5FC4"/>
    <w:rsid w:val="005B7F0B"/>
    <w:rsid w:val="005B7F4C"/>
    <w:rsid w:val="005C250B"/>
    <w:rsid w:val="005C256C"/>
    <w:rsid w:val="005C2D23"/>
    <w:rsid w:val="005D32D0"/>
    <w:rsid w:val="005D3742"/>
    <w:rsid w:val="005D5AEA"/>
    <w:rsid w:val="005E33D6"/>
    <w:rsid w:val="005E4C5F"/>
    <w:rsid w:val="005E5F6E"/>
    <w:rsid w:val="005E6A44"/>
    <w:rsid w:val="005F04C2"/>
    <w:rsid w:val="005F1653"/>
    <w:rsid w:val="005F4C01"/>
    <w:rsid w:val="005F5681"/>
    <w:rsid w:val="005F68C1"/>
    <w:rsid w:val="00601DD7"/>
    <w:rsid w:val="0060263C"/>
    <w:rsid w:val="00602A3E"/>
    <w:rsid w:val="0060596B"/>
    <w:rsid w:val="006072A6"/>
    <w:rsid w:val="00610A52"/>
    <w:rsid w:val="00622F2D"/>
    <w:rsid w:val="0063067F"/>
    <w:rsid w:val="0063164A"/>
    <w:rsid w:val="00634BE3"/>
    <w:rsid w:val="00637320"/>
    <w:rsid w:val="00640560"/>
    <w:rsid w:val="00643119"/>
    <w:rsid w:val="006435DA"/>
    <w:rsid w:val="00646669"/>
    <w:rsid w:val="00647A6E"/>
    <w:rsid w:val="00655B49"/>
    <w:rsid w:val="00657A18"/>
    <w:rsid w:val="0066196F"/>
    <w:rsid w:val="0066494F"/>
    <w:rsid w:val="006664EB"/>
    <w:rsid w:val="00670174"/>
    <w:rsid w:val="0067499F"/>
    <w:rsid w:val="0068053B"/>
    <w:rsid w:val="00681342"/>
    <w:rsid w:val="00681B80"/>
    <w:rsid w:val="006837B1"/>
    <w:rsid w:val="00684AEC"/>
    <w:rsid w:val="0069250D"/>
    <w:rsid w:val="0069263B"/>
    <w:rsid w:val="00693436"/>
    <w:rsid w:val="0069602C"/>
    <w:rsid w:val="006A536B"/>
    <w:rsid w:val="006A5B26"/>
    <w:rsid w:val="006B2096"/>
    <w:rsid w:val="006B59DA"/>
    <w:rsid w:val="006C595F"/>
    <w:rsid w:val="006D2345"/>
    <w:rsid w:val="006D4FB9"/>
    <w:rsid w:val="006D5D48"/>
    <w:rsid w:val="006E278A"/>
    <w:rsid w:val="006E3E61"/>
    <w:rsid w:val="006E4B40"/>
    <w:rsid w:val="006E528F"/>
    <w:rsid w:val="006E776A"/>
    <w:rsid w:val="006F1460"/>
    <w:rsid w:val="006F242F"/>
    <w:rsid w:val="006F37A2"/>
    <w:rsid w:val="006F4AC1"/>
    <w:rsid w:val="006F4FE9"/>
    <w:rsid w:val="006F5C38"/>
    <w:rsid w:val="006F773E"/>
    <w:rsid w:val="00701EEE"/>
    <w:rsid w:val="007029DB"/>
    <w:rsid w:val="00714934"/>
    <w:rsid w:val="00716E2B"/>
    <w:rsid w:val="0072089E"/>
    <w:rsid w:val="007254DF"/>
    <w:rsid w:val="00731F6A"/>
    <w:rsid w:val="00734526"/>
    <w:rsid w:val="007370AB"/>
    <w:rsid w:val="00751142"/>
    <w:rsid w:val="007633B9"/>
    <w:rsid w:val="00765761"/>
    <w:rsid w:val="007740E0"/>
    <w:rsid w:val="00774429"/>
    <w:rsid w:val="00780046"/>
    <w:rsid w:val="00780496"/>
    <w:rsid w:val="00781543"/>
    <w:rsid w:val="007819BC"/>
    <w:rsid w:val="0078229F"/>
    <w:rsid w:val="0079002C"/>
    <w:rsid w:val="007970AA"/>
    <w:rsid w:val="00797CD9"/>
    <w:rsid w:val="00797FCD"/>
    <w:rsid w:val="007A0AF8"/>
    <w:rsid w:val="007A0B0B"/>
    <w:rsid w:val="007B343D"/>
    <w:rsid w:val="007B6525"/>
    <w:rsid w:val="007B66EC"/>
    <w:rsid w:val="007B6DD4"/>
    <w:rsid w:val="007C25AC"/>
    <w:rsid w:val="007C2739"/>
    <w:rsid w:val="007C278B"/>
    <w:rsid w:val="007C50C6"/>
    <w:rsid w:val="007C5CC2"/>
    <w:rsid w:val="007C7BD3"/>
    <w:rsid w:val="007D0B7F"/>
    <w:rsid w:val="007D6478"/>
    <w:rsid w:val="007D6EC5"/>
    <w:rsid w:val="007E02B1"/>
    <w:rsid w:val="007E2CB2"/>
    <w:rsid w:val="007E3612"/>
    <w:rsid w:val="007F0474"/>
    <w:rsid w:val="007F0925"/>
    <w:rsid w:val="008036DF"/>
    <w:rsid w:val="00820206"/>
    <w:rsid w:val="0082129A"/>
    <w:rsid w:val="00835738"/>
    <w:rsid w:val="00837BD1"/>
    <w:rsid w:val="0084045C"/>
    <w:rsid w:val="00843DEC"/>
    <w:rsid w:val="0085038B"/>
    <w:rsid w:val="00863EEA"/>
    <w:rsid w:val="008676D3"/>
    <w:rsid w:val="00867BD4"/>
    <w:rsid w:val="00875B72"/>
    <w:rsid w:val="00876D6C"/>
    <w:rsid w:val="00882D29"/>
    <w:rsid w:val="008833D8"/>
    <w:rsid w:val="00884782"/>
    <w:rsid w:val="00893454"/>
    <w:rsid w:val="00895604"/>
    <w:rsid w:val="008A005E"/>
    <w:rsid w:val="008A4A66"/>
    <w:rsid w:val="008C3BB9"/>
    <w:rsid w:val="008D0DD7"/>
    <w:rsid w:val="008D1591"/>
    <w:rsid w:val="008D2E5D"/>
    <w:rsid w:val="008D2EA4"/>
    <w:rsid w:val="008E310D"/>
    <w:rsid w:val="008E6037"/>
    <w:rsid w:val="008E61C2"/>
    <w:rsid w:val="008F2A96"/>
    <w:rsid w:val="008F2C12"/>
    <w:rsid w:val="008F35B0"/>
    <w:rsid w:val="008F3A79"/>
    <w:rsid w:val="008F4C10"/>
    <w:rsid w:val="008F62A2"/>
    <w:rsid w:val="008F66EE"/>
    <w:rsid w:val="009022FB"/>
    <w:rsid w:val="0090690B"/>
    <w:rsid w:val="009069AC"/>
    <w:rsid w:val="00911994"/>
    <w:rsid w:val="009124A1"/>
    <w:rsid w:val="00925803"/>
    <w:rsid w:val="009321FF"/>
    <w:rsid w:val="0094107F"/>
    <w:rsid w:val="0094206F"/>
    <w:rsid w:val="009429E3"/>
    <w:rsid w:val="0094324A"/>
    <w:rsid w:val="00943CAD"/>
    <w:rsid w:val="00951A4D"/>
    <w:rsid w:val="009521EC"/>
    <w:rsid w:val="009523E6"/>
    <w:rsid w:val="00952A52"/>
    <w:rsid w:val="00954585"/>
    <w:rsid w:val="00954FF4"/>
    <w:rsid w:val="009555C2"/>
    <w:rsid w:val="00956E16"/>
    <w:rsid w:val="0096310F"/>
    <w:rsid w:val="009675DA"/>
    <w:rsid w:val="009759EB"/>
    <w:rsid w:val="00976BB0"/>
    <w:rsid w:val="0098011B"/>
    <w:rsid w:val="009801A2"/>
    <w:rsid w:val="009815D4"/>
    <w:rsid w:val="00981606"/>
    <w:rsid w:val="00982685"/>
    <w:rsid w:val="00983DE0"/>
    <w:rsid w:val="00986D80"/>
    <w:rsid w:val="00992B23"/>
    <w:rsid w:val="009935A9"/>
    <w:rsid w:val="009A045A"/>
    <w:rsid w:val="009A0ABC"/>
    <w:rsid w:val="009A42E7"/>
    <w:rsid w:val="009B048E"/>
    <w:rsid w:val="009C2B5A"/>
    <w:rsid w:val="009C3286"/>
    <w:rsid w:val="009C683C"/>
    <w:rsid w:val="009D111B"/>
    <w:rsid w:val="009D31B9"/>
    <w:rsid w:val="009D512C"/>
    <w:rsid w:val="009E0EB5"/>
    <w:rsid w:val="009E2618"/>
    <w:rsid w:val="009E2A65"/>
    <w:rsid w:val="009E2F06"/>
    <w:rsid w:val="009F3614"/>
    <w:rsid w:val="009F6ADD"/>
    <w:rsid w:val="009F7176"/>
    <w:rsid w:val="00A00241"/>
    <w:rsid w:val="00A10642"/>
    <w:rsid w:val="00A11CB3"/>
    <w:rsid w:val="00A15C4C"/>
    <w:rsid w:val="00A20114"/>
    <w:rsid w:val="00A2167C"/>
    <w:rsid w:val="00A240C8"/>
    <w:rsid w:val="00A25CCA"/>
    <w:rsid w:val="00A263C8"/>
    <w:rsid w:val="00A32BBB"/>
    <w:rsid w:val="00A339A5"/>
    <w:rsid w:val="00A347DC"/>
    <w:rsid w:val="00A41E21"/>
    <w:rsid w:val="00A50FC8"/>
    <w:rsid w:val="00A51677"/>
    <w:rsid w:val="00A57FBA"/>
    <w:rsid w:val="00A66A2B"/>
    <w:rsid w:val="00A71D3D"/>
    <w:rsid w:val="00A747BE"/>
    <w:rsid w:val="00A9026A"/>
    <w:rsid w:val="00A9653D"/>
    <w:rsid w:val="00A96D71"/>
    <w:rsid w:val="00AA1D71"/>
    <w:rsid w:val="00AA6A8B"/>
    <w:rsid w:val="00AB18ED"/>
    <w:rsid w:val="00AB336A"/>
    <w:rsid w:val="00AB3C6B"/>
    <w:rsid w:val="00AB54EB"/>
    <w:rsid w:val="00AB79CC"/>
    <w:rsid w:val="00AC440E"/>
    <w:rsid w:val="00AC54E0"/>
    <w:rsid w:val="00AC6342"/>
    <w:rsid w:val="00AC74C7"/>
    <w:rsid w:val="00AD0808"/>
    <w:rsid w:val="00AD663A"/>
    <w:rsid w:val="00AE18F8"/>
    <w:rsid w:val="00AE62D8"/>
    <w:rsid w:val="00B00663"/>
    <w:rsid w:val="00B00C13"/>
    <w:rsid w:val="00B05A51"/>
    <w:rsid w:val="00B068E4"/>
    <w:rsid w:val="00B12EC9"/>
    <w:rsid w:val="00B1571F"/>
    <w:rsid w:val="00B20E8B"/>
    <w:rsid w:val="00B321F0"/>
    <w:rsid w:val="00B333A8"/>
    <w:rsid w:val="00B3763B"/>
    <w:rsid w:val="00B40D98"/>
    <w:rsid w:val="00B41B30"/>
    <w:rsid w:val="00B4503F"/>
    <w:rsid w:val="00B50F6A"/>
    <w:rsid w:val="00B52F78"/>
    <w:rsid w:val="00B54A91"/>
    <w:rsid w:val="00B55A81"/>
    <w:rsid w:val="00B56067"/>
    <w:rsid w:val="00B57352"/>
    <w:rsid w:val="00B6233A"/>
    <w:rsid w:val="00B63F24"/>
    <w:rsid w:val="00B71ADC"/>
    <w:rsid w:val="00B73BCD"/>
    <w:rsid w:val="00B74A9A"/>
    <w:rsid w:val="00B75EDB"/>
    <w:rsid w:val="00B821C4"/>
    <w:rsid w:val="00B84C0C"/>
    <w:rsid w:val="00B866A8"/>
    <w:rsid w:val="00B86959"/>
    <w:rsid w:val="00B902BC"/>
    <w:rsid w:val="00B916FE"/>
    <w:rsid w:val="00B94259"/>
    <w:rsid w:val="00B94C99"/>
    <w:rsid w:val="00B97BE8"/>
    <w:rsid w:val="00BA0981"/>
    <w:rsid w:val="00BA2C7C"/>
    <w:rsid w:val="00BA3DED"/>
    <w:rsid w:val="00BA5096"/>
    <w:rsid w:val="00BA7B53"/>
    <w:rsid w:val="00BB58C2"/>
    <w:rsid w:val="00BC0F3B"/>
    <w:rsid w:val="00BC52C3"/>
    <w:rsid w:val="00BC7CEE"/>
    <w:rsid w:val="00BD1F19"/>
    <w:rsid w:val="00BD3693"/>
    <w:rsid w:val="00BD4EE7"/>
    <w:rsid w:val="00BE0D74"/>
    <w:rsid w:val="00BE32FB"/>
    <w:rsid w:val="00BF0C3D"/>
    <w:rsid w:val="00BF2755"/>
    <w:rsid w:val="00BF7AA6"/>
    <w:rsid w:val="00C00BEB"/>
    <w:rsid w:val="00C0269B"/>
    <w:rsid w:val="00C032EC"/>
    <w:rsid w:val="00C04BFE"/>
    <w:rsid w:val="00C05C64"/>
    <w:rsid w:val="00C1092D"/>
    <w:rsid w:val="00C11BAB"/>
    <w:rsid w:val="00C14C7D"/>
    <w:rsid w:val="00C15CF4"/>
    <w:rsid w:val="00C17558"/>
    <w:rsid w:val="00C20509"/>
    <w:rsid w:val="00C209D9"/>
    <w:rsid w:val="00C216D0"/>
    <w:rsid w:val="00C22B1E"/>
    <w:rsid w:val="00C23AA9"/>
    <w:rsid w:val="00C23E8D"/>
    <w:rsid w:val="00C25AE4"/>
    <w:rsid w:val="00C30D89"/>
    <w:rsid w:val="00C32F04"/>
    <w:rsid w:val="00C36517"/>
    <w:rsid w:val="00C3701E"/>
    <w:rsid w:val="00C407C7"/>
    <w:rsid w:val="00C42A74"/>
    <w:rsid w:val="00C45E6D"/>
    <w:rsid w:val="00C5715C"/>
    <w:rsid w:val="00C575F9"/>
    <w:rsid w:val="00C618E6"/>
    <w:rsid w:val="00C6234E"/>
    <w:rsid w:val="00C629BA"/>
    <w:rsid w:val="00C629FD"/>
    <w:rsid w:val="00C6677D"/>
    <w:rsid w:val="00C67748"/>
    <w:rsid w:val="00C67BF5"/>
    <w:rsid w:val="00C7058F"/>
    <w:rsid w:val="00C70BAB"/>
    <w:rsid w:val="00C728AF"/>
    <w:rsid w:val="00C7432F"/>
    <w:rsid w:val="00C7709E"/>
    <w:rsid w:val="00C854B4"/>
    <w:rsid w:val="00C91E53"/>
    <w:rsid w:val="00C923E9"/>
    <w:rsid w:val="00C94570"/>
    <w:rsid w:val="00C96603"/>
    <w:rsid w:val="00CA22E6"/>
    <w:rsid w:val="00CB1CF5"/>
    <w:rsid w:val="00CB5126"/>
    <w:rsid w:val="00CC3049"/>
    <w:rsid w:val="00CC7B48"/>
    <w:rsid w:val="00CD13A4"/>
    <w:rsid w:val="00CD6FF2"/>
    <w:rsid w:val="00CD783C"/>
    <w:rsid w:val="00CD7BB0"/>
    <w:rsid w:val="00CE039B"/>
    <w:rsid w:val="00CE3C1A"/>
    <w:rsid w:val="00CE4AF0"/>
    <w:rsid w:val="00CF4110"/>
    <w:rsid w:val="00CF43EA"/>
    <w:rsid w:val="00CF5570"/>
    <w:rsid w:val="00CF5C24"/>
    <w:rsid w:val="00D006E0"/>
    <w:rsid w:val="00D0282C"/>
    <w:rsid w:val="00D065D0"/>
    <w:rsid w:val="00D14C73"/>
    <w:rsid w:val="00D15892"/>
    <w:rsid w:val="00D16CEA"/>
    <w:rsid w:val="00D1731A"/>
    <w:rsid w:val="00D23AF8"/>
    <w:rsid w:val="00D257A5"/>
    <w:rsid w:val="00D25D8B"/>
    <w:rsid w:val="00D30C63"/>
    <w:rsid w:val="00D33B40"/>
    <w:rsid w:val="00D46354"/>
    <w:rsid w:val="00D46F02"/>
    <w:rsid w:val="00D5166D"/>
    <w:rsid w:val="00D54D3C"/>
    <w:rsid w:val="00D5573A"/>
    <w:rsid w:val="00D6197E"/>
    <w:rsid w:val="00D7047D"/>
    <w:rsid w:val="00D71F98"/>
    <w:rsid w:val="00D736CF"/>
    <w:rsid w:val="00D74ABD"/>
    <w:rsid w:val="00D74BC8"/>
    <w:rsid w:val="00D752D7"/>
    <w:rsid w:val="00D75467"/>
    <w:rsid w:val="00D773E9"/>
    <w:rsid w:val="00D8144D"/>
    <w:rsid w:val="00D81663"/>
    <w:rsid w:val="00D818E3"/>
    <w:rsid w:val="00D8506E"/>
    <w:rsid w:val="00D901BE"/>
    <w:rsid w:val="00D91D1C"/>
    <w:rsid w:val="00D922BD"/>
    <w:rsid w:val="00D96E7A"/>
    <w:rsid w:val="00DA146C"/>
    <w:rsid w:val="00DA1540"/>
    <w:rsid w:val="00DA2A70"/>
    <w:rsid w:val="00DB3811"/>
    <w:rsid w:val="00DB4135"/>
    <w:rsid w:val="00DB46EC"/>
    <w:rsid w:val="00DB4895"/>
    <w:rsid w:val="00DB5268"/>
    <w:rsid w:val="00DC19E8"/>
    <w:rsid w:val="00DC5551"/>
    <w:rsid w:val="00DD1DF3"/>
    <w:rsid w:val="00DD277A"/>
    <w:rsid w:val="00DD3DF1"/>
    <w:rsid w:val="00DD5207"/>
    <w:rsid w:val="00DE33DA"/>
    <w:rsid w:val="00DE3810"/>
    <w:rsid w:val="00DE592E"/>
    <w:rsid w:val="00DE78B1"/>
    <w:rsid w:val="00DE7DD2"/>
    <w:rsid w:val="00DF2072"/>
    <w:rsid w:val="00DF2893"/>
    <w:rsid w:val="00DF4E29"/>
    <w:rsid w:val="00DF50EB"/>
    <w:rsid w:val="00E0061C"/>
    <w:rsid w:val="00E01928"/>
    <w:rsid w:val="00E0390F"/>
    <w:rsid w:val="00E155D4"/>
    <w:rsid w:val="00E16BA2"/>
    <w:rsid w:val="00E17EDD"/>
    <w:rsid w:val="00E20BAE"/>
    <w:rsid w:val="00E213F4"/>
    <w:rsid w:val="00E25BAC"/>
    <w:rsid w:val="00E3037A"/>
    <w:rsid w:val="00E30F68"/>
    <w:rsid w:val="00E37624"/>
    <w:rsid w:val="00E43858"/>
    <w:rsid w:val="00E448BF"/>
    <w:rsid w:val="00E5197B"/>
    <w:rsid w:val="00E52DEE"/>
    <w:rsid w:val="00E60A09"/>
    <w:rsid w:val="00E63BF7"/>
    <w:rsid w:val="00E66E9C"/>
    <w:rsid w:val="00E66F86"/>
    <w:rsid w:val="00E716E2"/>
    <w:rsid w:val="00E80C69"/>
    <w:rsid w:val="00E85866"/>
    <w:rsid w:val="00E93440"/>
    <w:rsid w:val="00E93F14"/>
    <w:rsid w:val="00E95813"/>
    <w:rsid w:val="00E95C6C"/>
    <w:rsid w:val="00E95F15"/>
    <w:rsid w:val="00EA025E"/>
    <w:rsid w:val="00EA4BA0"/>
    <w:rsid w:val="00EB6AA1"/>
    <w:rsid w:val="00EC43E7"/>
    <w:rsid w:val="00EC4DF7"/>
    <w:rsid w:val="00EC529F"/>
    <w:rsid w:val="00EC60F0"/>
    <w:rsid w:val="00EC6408"/>
    <w:rsid w:val="00ED2914"/>
    <w:rsid w:val="00ED4253"/>
    <w:rsid w:val="00ED5C6D"/>
    <w:rsid w:val="00EE1F4F"/>
    <w:rsid w:val="00F038AA"/>
    <w:rsid w:val="00F06AB3"/>
    <w:rsid w:val="00F13332"/>
    <w:rsid w:val="00F1338C"/>
    <w:rsid w:val="00F13D83"/>
    <w:rsid w:val="00F208E3"/>
    <w:rsid w:val="00F24AE0"/>
    <w:rsid w:val="00F34879"/>
    <w:rsid w:val="00F4200E"/>
    <w:rsid w:val="00F450D1"/>
    <w:rsid w:val="00F470A8"/>
    <w:rsid w:val="00F502AF"/>
    <w:rsid w:val="00F51FFF"/>
    <w:rsid w:val="00F53E04"/>
    <w:rsid w:val="00F56CE7"/>
    <w:rsid w:val="00F62F13"/>
    <w:rsid w:val="00F64A1F"/>
    <w:rsid w:val="00F6587E"/>
    <w:rsid w:val="00F66501"/>
    <w:rsid w:val="00F72327"/>
    <w:rsid w:val="00F7263C"/>
    <w:rsid w:val="00F77D7A"/>
    <w:rsid w:val="00F8020E"/>
    <w:rsid w:val="00F815A3"/>
    <w:rsid w:val="00F86841"/>
    <w:rsid w:val="00F86FF0"/>
    <w:rsid w:val="00F8782C"/>
    <w:rsid w:val="00F9205E"/>
    <w:rsid w:val="00F923F0"/>
    <w:rsid w:val="00F942E5"/>
    <w:rsid w:val="00F954F0"/>
    <w:rsid w:val="00F96656"/>
    <w:rsid w:val="00F96B7C"/>
    <w:rsid w:val="00FA04A7"/>
    <w:rsid w:val="00FA38D2"/>
    <w:rsid w:val="00FA77DD"/>
    <w:rsid w:val="00FC0FC7"/>
    <w:rsid w:val="00FC509F"/>
    <w:rsid w:val="00FC769D"/>
    <w:rsid w:val="00FD0868"/>
    <w:rsid w:val="00FD5897"/>
    <w:rsid w:val="00FE1C18"/>
    <w:rsid w:val="00FF088B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276B77CC-8EC1-41D0-851E-DE95E030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2A96"/>
    <w:pPr>
      <w:spacing w:after="120"/>
      <w:jc w:val="both"/>
    </w:pPr>
    <w:rPr>
      <w:sz w:val="24"/>
    </w:rPr>
  </w:style>
  <w:style w:type="paragraph" w:styleId="Nadpis1">
    <w:name w:val="heading 1"/>
    <w:aliases w:val="Nadpis V2"/>
    <w:basedOn w:val="Normln"/>
    <w:next w:val="Normln"/>
    <w:qFormat/>
    <w:rsid w:val="00954FF4"/>
    <w:pPr>
      <w:keepNext/>
      <w:numPr>
        <w:numId w:val="1"/>
      </w:numPr>
      <w:tabs>
        <w:tab w:val="decimal" w:pos="-2127"/>
      </w:tabs>
      <w:spacing w:before="480"/>
      <w:jc w:val="left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qFormat/>
    <w:rsid w:val="00954FF4"/>
    <w:pPr>
      <w:keepNext/>
      <w:numPr>
        <w:ilvl w:val="1"/>
        <w:numId w:val="1"/>
      </w:numPr>
      <w:spacing w:before="240"/>
      <w:jc w:val="left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qFormat/>
    <w:rsid w:val="00954FF4"/>
    <w:pPr>
      <w:keepNext/>
      <w:numPr>
        <w:ilvl w:val="2"/>
        <w:numId w:val="1"/>
      </w:numPr>
      <w:spacing w:before="240"/>
      <w:outlineLvl w:val="2"/>
    </w:pPr>
    <w:rPr>
      <w:b/>
      <w:sz w:val="26"/>
    </w:rPr>
  </w:style>
  <w:style w:type="paragraph" w:styleId="Nadpis4">
    <w:name w:val="heading 4"/>
    <w:basedOn w:val="Nadpis3"/>
    <w:next w:val="Normln"/>
    <w:qFormat/>
    <w:rsid w:val="00954FF4"/>
    <w:pPr>
      <w:numPr>
        <w:ilvl w:val="3"/>
      </w:numPr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954FF4"/>
    <w:pPr>
      <w:numPr>
        <w:ilvl w:val="4"/>
        <w:numId w:val="1"/>
      </w:numPr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954FF4"/>
    <w:pPr>
      <w:numPr>
        <w:ilvl w:val="5"/>
        <w:numId w:val="1"/>
      </w:numPr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rsid w:val="00954FF4"/>
    <w:pPr>
      <w:numPr>
        <w:ilvl w:val="6"/>
        <w:numId w:val="1"/>
      </w:numPr>
      <w:outlineLvl w:val="6"/>
    </w:pPr>
    <w:rPr>
      <w:i/>
    </w:rPr>
  </w:style>
  <w:style w:type="paragraph" w:styleId="Nadpis8">
    <w:name w:val="heading 8"/>
    <w:basedOn w:val="Normln"/>
    <w:next w:val="Normln"/>
    <w:qFormat/>
    <w:rsid w:val="00954FF4"/>
    <w:pPr>
      <w:numPr>
        <w:ilvl w:val="7"/>
        <w:numId w:val="1"/>
      </w:numPr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954FF4"/>
    <w:pPr>
      <w:numPr>
        <w:ilvl w:val="8"/>
        <w:numId w:val="1"/>
      </w:numPr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54FF4"/>
    <w:pPr>
      <w:pBdr>
        <w:bottom w:val="dotted" w:sz="4" w:space="1" w:color="auto"/>
      </w:pBdr>
      <w:tabs>
        <w:tab w:val="right" w:pos="9072"/>
      </w:tabs>
      <w:spacing w:before="120"/>
    </w:pPr>
    <w:rPr>
      <w:i/>
      <w:sz w:val="20"/>
    </w:rPr>
  </w:style>
  <w:style w:type="paragraph" w:styleId="Zpat">
    <w:name w:val="footer"/>
    <w:basedOn w:val="Normln"/>
    <w:semiHidden/>
    <w:rsid w:val="00954FF4"/>
    <w:pPr>
      <w:pBdr>
        <w:top w:val="dotted" w:sz="4" w:space="1" w:color="auto"/>
      </w:pBdr>
      <w:tabs>
        <w:tab w:val="center" w:pos="4819"/>
        <w:tab w:val="right" w:pos="9071"/>
      </w:tabs>
      <w:spacing w:before="360"/>
    </w:pPr>
    <w:rPr>
      <w:i/>
      <w:sz w:val="20"/>
    </w:rPr>
  </w:style>
  <w:style w:type="paragraph" w:styleId="Obsah1">
    <w:name w:val="toc 1"/>
    <w:basedOn w:val="Normln"/>
    <w:next w:val="Normln"/>
    <w:uiPriority w:val="39"/>
    <w:rsid w:val="00954FF4"/>
    <w:pPr>
      <w:tabs>
        <w:tab w:val="right" w:leader="dot" w:pos="9050"/>
      </w:tabs>
      <w:spacing w:after="60"/>
      <w:ind w:left="851" w:right="851" w:hanging="851"/>
      <w:jc w:val="left"/>
    </w:pPr>
    <w:rPr>
      <w:caps/>
    </w:rPr>
  </w:style>
  <w:style w:type="paragraph" w:styleId="Obsah2">
    <w:name w:val="toc 2"/>
    <w:basedOn w:val="Normln"/>
    <w:next w:val="Normln"/>
    <w:uiPriority w:val="39"/>
    <w:rsid w:val="00954FF4"/>
    <w:pPr>
      <w:tabs>
        <w:tab w:val="left" w:pos="851"/>
        <w:tab w:val="right" w:leader="dot" w:pos="9050"/>
      </w:tabs>
      <w:spacing w:after="60"/>
      <w:ind w:left="851" w:right="851" w:hanging="851"/>
      <w:jc w:val="left"/>
    </w:pPr>
    <w:rPr>
      <w:noProof/>
      <w:szCs w:val="28"/>
    </w:rPr>
  </w:style>
  <w:style w:type="paragraph" w:styleId="Obsah3">
    <w:name w:val="toc 3"/>
    <w:basedOn w:val="Normln"/>
    <w:next w:val="Normln"/>
    <w:uiPriority w:val="39"/>
    <w:rsid w:val="00954FF4"/>
    <w:pPr>
      <w:tabs>
        <w:tab w:val="left" w:pos="851"/>
        <w:tab w:val="right" w:leader="dot" w:pos="9050"/>
      </w:tabs>
      <w:spacing w:after="60"/>
      <w:ind w:left="851" w:right="851" w:hanging="851"/>
      <w:jc w:val="left"/>
    </w:pPr>
    <w:rPr>
      <w:noProof/>
      <w:szCs w:val="26"/>
    </w:rPr>
  </w:style>
  <w:style w:type="paragraph" w:customStyle="1" w:styleId="Poznmka">
    <w:name w:val="Poznámka"/>
    <w:rsid w:val="00954FF4"/>
    <w:pPr>
      <w:jc w:val="both"/>
    </w:pPr>
    <w:rPr>
      <w:color w:val="000000"/>
    </w:rPr>
  </w:style>
  <w:style w:type="paragraph" w:customStyle="1" w:styleId="Texttabulky">
    <w:name w:val="Text tabulky"/>
    <w:rsid w:val="00954FF4"/>
    <w:pPr>
      <w:jc w:val="both"/>
    </w:pPr>
    <w:rPr>
      <w:color w:val="000000"/>
      <w:sz w:val="24"/>
    </w:rPr>
  </w:style>
  <w:style w:type="character" w:styleId="Odkaznavysvtlivky">
    <w:name w:val="endnote reference"/>
    <w:semiHidden/>
    <w:rsid w:val="00954FF4"/>
    <w:rPr>
      <w:rFonts w:ascii="Arial" w:hAnsi="Arial"/>
      <w:noProof w:val="0"/>
      <w:vertAlign w:val="superscript"/>
      <w:lang w:val="cs-CZ"/>
    </w:rPr>
  </w:style>
  <w:style w:type="character" w:styleId="Znakapoznpodarou">
    <w:name w:val="footnote reference"/>
    <w:semiHidden/>
    <w:rsid w:val="00954FF4"/>
    <w:rPr>
      <w:position w:val="6"/>
      <w:sz w:val="16"/>
    </w:rPr>
  </w:style>
  <w:style w:type="paragraph" w:styleId="Textpoznpodarou">
    <w:name w:val="footnote text"/>
    <w:basedOn w:val="Normln"/>
    <w:semiHidden/>
    <w:rsid w:val="00954FF4"/>
  </w:style>
  <w:style w:type="paragraph" w:customStyle="1" w:styleId="Nadpsekneslovan">
    <w:name w:val="Nadpísek nečíslovaný"/>
    <w:basedOn w:val="Normln"/>
    <w:rsid w:val="00954FF4"/>
    <w:pPr>
      <w:keepNext/>
      <w:spacing w:before="120"/>
    </w:pPr>
    <w:rPr>
      <w:b/>
    </w:rPr>
  </w:style>
  <w:style w:type="character" w:styleId="Odkaznakoment">
    <w:name w:val="annotation reference"/>
    <w:semiHidden/>
    <w:rsid w:val="00954FF4"/>
    <w:rPr>
      <w:sz w:val="16"/>
    </w:rPr>
  </w:style>
  <w:style w:type="paragraph" w:styleId="Textkomente">
    <w:name w:val="annotation text"/>
    <w:basedOn w:val="Normln"/>
    <w:semiHidden/>
    <w:rsid w:val="00954FF4"/>
    <w:rPr>
      <w:sz w:val="20"/>
    </w:rPr>
  </w:style>
  <w:style w:type="paragraph" w:styleId="Textbubliny">
    <w:name w:val="Balloon Text"/>
    <w:basedOn w:val="Normln"/>
    <w:semiHidden/>
    <w:rsid w:val="00954FF4"/>
    <w:rPr>
      <w:rFonts w:ascii="Tahoma" w:hAnsi="Tahoma" w:cs="Tahoma"/>
      <w:sz w:val="16"/>
      <w:szCs w:val="16"/>
    </w:rPr>
  </w:style>
  <w:style w:type="paragraph" w:customStyle="1" w:styleId="Nadpisneslovan">
    <w:name w:val="Nadpis nečíslovaný"/>
    <w:basedOn w:val="Normln"/>
    <w:rsid w:val="00954FF4"/>
    <w:pPr>
      <w:keepNext/>
    </w:pPr>
    <w:rPr>
      <w:b/>
      <w:bCs/>
      <w:caps/>
      <w:sz w:val="32"/>
    </w:rPr>
  </w:style>
  <w:style w:type="paragraph" w:customStyle="1" w:styleId="Odrkybezmezery">
    <w:name w:val="Odrážky bez mezery"/>
    <w:basedOn w:val="Normln"/>
    <w:rsid w:val="00954FF4"/>
    <w:pPr>
      <w:numPr>
        <w:numId w:val="3"/>
      </w:numPr>
      <w:spacing w:after="0"/>
    </w:pPr>
  </w:style>
  <w:style w:type="paragraph" w:customStyle="1" w:styleId="Odrkysmezerou">
    <w:name w:val="Odrážky s mezerou"/>
    <w:basedOn w:val="Normln"/>
    <w:rsid w:val="00954FF4"/>
    <w:pPr>
      <w:tabs>
        <w:tab w:val="num" w:pos="851"/>
      </w:tabs>
      <w:ind w:left="851" w:hanging="425"/>
    </w:pPr>
  </w:style>
  <w:style w:type="paragraph" w:customStyle="1" w:styleId="Odrkyslovan">
    <w:name w:val="Odrážky číslované"/>
    <w:basedOn w:val="Normln"/>
    <w:rsid w:val="00954FF4"/>
    <w:pPr>
      <w:numPr>
        <w:numId w:val="4"/>
      </w:numPr>
      <w:tabs>
        <w:tab w:val="clear" w:pos="360"/>
        <w:tab w:val="num" w:pos="851"/>
      </w:tabs>
      <w:ind w:left="851" w:hanging="425"/>
    </w:pPr>
  </w:style>
  <w:style w:type="paragraph" w:customStyle="1" w:styleId="M">
    <w:name w:val="MŘ"/>
    <w:basedOn w:val="Normln"/>
    <w:rsid w:val="00954FF4"/>
    <w:pPr>
      <w:spacing w:after="0"/>
      <w:jc w:val="left"/>
      <w:outlineLvl w:val="0"/>
    </w:pPr>
    <w:rPr>
      <w:rFonts w:ascii="Arial" w:hAnsi="Arial"/>
    </w:rPr>
  </w:style>
  <w:style w:type="paragraph" w:customStyle="1" w:styleId="Normlnbezmezery">
    <w:name w:val="Normální bez mezery"/>
    <w:basedOn w:val="Normln"/>
    <w:rsid w:val="00954FF4"/>
    <w:pPr>
      <w:spacing w:after="0"/>
    </w:pPr>
  </w:style>
  <w:style w:type="paragraph" w:customStyle="1" w:styleId="Tabulkacentrovan">
    <w:name w:val="Tabulka centrovaná"/>
    <w:basedOn w:val="Normln"/>
    <w:rsid w:val="00954FF4"/>
    <w:pPr>
      <w:spacing w:before="60" w:after="60"/>
      <w:jc w:val="center"/>
      <w:outlineLvl w:val="0"/>
    </w:pPr>
  </w:style>
  <w:style w:type="paragraph" w:styleId="Zkladntext2">
    <w:name w:val="Body Text 2"/>
    <w:basedOn w:val="Normln"/>
    <w:semiHidden/>
    <w:rsid w:val="00954FF4"/>
    <w:pPr>
      <w:spacing w:before="120" w:after="0"/>
      <w:outlineLvl w:val="0"/>
    </w:pPr>
  </w:style>
  <w:style w:type="paragraph" w:styleId="Zkladntextodsazen">
    <w:name w:val="Body Text Indent"/>
    <w:basedOn w:val="Normln"/>
    <w:semiHidden/>
    <w:rsid w:val="00954FF4"/>
    <w:pPr>
      <w:ind w:left="709" w:hanging="709"/>
    </w:pPr>
  </w:style>
  <w:style w:type="paragraph" w:styleId="Zkladntext3">
    <w:name w:val="Body Text 3"/>
    <w:basedOn w:val="Normln"/>
    <w:semiHidden/>
    <w:rsid w:val="00954FF4"/>
    <w:pPr>
      <w:spacing w:before="40" w:after="40" w:line="360" w:lineRule="auto"/>
      <w:ind w:firstLine="567"/>
      <w:jc w:val="left"/>
    </w:pPr>
    <w:rPr>
      <w:snapToGrid w:val="0"/>
    </w:rPr>
  </w:style>
  <w:style w:type="paragraph" w:customStyle="1" w:styleId="odrky">
    <w:name w:val="odrážky"/>
    <w:basedOn w:val="Normln"/>
    <w:rsid w:val="00954FF4"/>
    <w:pPr>
      <w:numPr>
        <w:numId w:val="5"/>
      </w:numPr>
      <w:tabs>
        <w:tab w:val="clear" w:pos="360"/>
        <w:tab w:val="num" w:pos="567"/>
      </w:tabs>
      <w:spacing w:before="120" w:after="0"/>
      <w:ind w:left="567" w:hanging="283"/>
      <w:jc w:val="left"/>
      <w:outlineLvl w:val="0"/>
    </w:pPr>
  </w:style>
  <w:style w:type="paragraph" w:styleId="Zkladntext">
    <w:name w:val="Body Text"/>
    <w:basedOn w:val="Normln"/>
    <w:link w:val="ZkladntextChar"/>
    <w:rsid w:val="00954FF4"/>
    <w:pPr>
      <w:spacing w:after="0"/>
    </w:pPr>
    <w:rPr>
      <w:szCs w:val="24"/>
    </w:rPr>
  </w:style>
  <w:style w:type="paragraph" w:styleId="Seznamsodrkami">
    <w:name w:val="List Bullet"/>
    <w:basedOn w:val="Normln"/>
    <w:autoRedefine/>
    <w:semiHidden/>
    <w:rsid w:val="00954FF4"/>
    <w:pPr>
      <w:numPr>
        <w:numId w:val="2"/>
      </w:numPr>
      <w:spacing w:after="0"/>
    </w:pPr>
  </w:style>
  <w:style w:type="character" w:customStyle="1" w:styleId="articletitle">
    <w:name w:val="articletitle"/>
    <w:basedOn w:val="Standardnpsmoodstavce"/>
    <w:rsid w:val="00954FF4"/>
  </w:style>
  <w:style w:type="paragraph" w:customStyle="1" w:styleId="odrkypuntk">
    <w:name w:val="odrážky puntík"/>
    <w:rsid w:val="0004315B"/>
    <w:pPr>
      <w:numPr>
        <w:numId w:val="6"/>
      </w:numPr>
      <w:suppressAutoHyphens/>
    </w:pPr>
    <w:rPr>
      <w:rFonts w:eastAsia="Arial"/>
      <w:sz w:val="24"/>
      <w:lang w:eastAsia="ar-SA"/>
    </w:rPr>
  </w:style>
  <w:style w:type="table" w:styleId="Mkatabulky">
    <w:name w:val="Table Grid"/>
    <w:basedOn w:val="Normlntabulka"/>
    <w:uiPriority w:val="59"/>
    <w:rsid w:val="009E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link w:val="Zkladntext"/>
    <w:rsid w:val="00C23AA9"/>
    <w:rPr>
      <w:sz w:val="24"/>
      <w:szCs w:val="24"/>
    </w:rPr>
  </w:style>
  <w:style w:type="paragraph" w:customStyle="1" w:styleId="Zkladntext31">
    <w:name w:val="Základní text 31"/>
    <w:rsid w:val="00C6677D"/>
    <w:pPr>
      <w:suppressAutoHyphens/>
      <w:ind w:firstLine="567"/>
    </w:pPr>
    <w:rPr>
      <w:rFonts w:eastAsia="Arial"/>
      <w:color w:val="000000"/>
      <w:sz w:val="24"/>
      <w:lang w:eastAsia="ar-SA"/>
    </w:rPr>
  </w:style>
  <w:style w:type="character" w:styleId="Hypertextovodkaz">
    <w:name w:val="Hyperlink"/>
    <w:uiPriority w:val="99"/>
    <w:semiHidden/>
    <w:unhideWhenUsed/>
    <w:rsid w:val="00C6677D"/>
    <w:rPr>
      <w:color w:val="0000FF"/>
      <w:u w:val="single"/>
    </w:rPr>
  </w:style>
  <w:style w:type="paragraph" w:customStyle="1" w:styleId="Bntextodsazen">
    <w:name w:val="Běžný text odsazený"/>
    <w:basedOn w:val="Normln"/>
    <w:rsid w:val="005777E0"/>
    <w:pPr>
      <w:widowControl w:val="0"/>
      <w:spacing w:before="60" w:after="60" w:line="300" w:lineRule="exact"/>
      <w:ind w:left="567"/>
      <w:jc w:val="left"/>
    </w:pPr>
    <w:rPr>
      <w:rFonts w:ascii="Arial" w:hAnsi="Arial"/>
      <w:sz w:val="20"/>
      <w:szCs w:val="24"/>
    </w:rPr>
  </w:style>
  <w:style w:type="paragraph" w:customStyle="1" w:styleId="Textdopisu">
    <w:name w:val="Text dopisu"/>
    <w:basedOn w:val="Normln"/>
    <w:rsid w:val="001A2A8D"/>
    <w:pPr>
      <w:tabs>
        <w:tab w:val="left" w:pos="2268"/>
        <w:tab w:val="center" w:pos="5670"/>
      </w:tabs>
      <w:spacing w:before="120" w:after="0"/>
      <w:ind w:right="133"/>
    </w:pPr>
  </w:style>
  <w:style w:type="paragraph" w:styleId="Titulek">
    <w:name w:val="caption"/>
    <w:basedOn w:val="Normln"/>
    <w:next w:val="Normln"/>
    <w:qFormat/>
    <w:rsid w:val="009E2618"/>
    <w:pPr>
      <w:spacing w:before="120" w:line="360" w:lineRule="auto"/>
      <w:jc w:val="left"/>
      <w:outlineLvl w:val="0"/>
    </w:pPr>
    <w:rPr>
      <w:b/>
    </w:rPr>
  </w:style>
  <w:style w:type="paragraph" w:styleId="Obsah4">
    <w:name w:val="toc 4"/>
    <w:basedOn w:val="Normln"/>
    <w:next w:val="Normln"/>
    <w:autoRedefine/>
    <w:uiPriority w:val="39"/>
    <w:unhideWhenUsed/>
    <w:rsid w:val="00C67BF5"/>
    <w:pPr>
      <w:spacing w:after="100"/>
      <w:ind w:left="720"/>
    </w:pPr>
  </w:style>
  <w:style w:type="paragraph" w:styleId="Odstavecseseznamem">
    <w:name w:val="List Paragraph"/>
    <w:basedOn w:val="Normln"/>
    <w:uiPriority w:val="34"/>
    <w:qFormat/>
    <w:rsid w:val="005266B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F942E5"/>
    <w:rPr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detail(84367);" TargetMode="External"/><Relationship Id="rId18" Type="http://schemas.openxmlformats.org/officeDocument/2006/relationships/hyperlink" Target="javascript:detail(84334);" TargetMode="External"/><Relationship Id="rId26" Type="http://schemas.openxmlformats.org/officeDocument/2006/relationships/hyperlink" Target="javascript:detailzmeny(84131);" TargetMode="External"/><Relationship Id="rId39" Type="http://schemas.openxmlformats.org/officeDocument/2006/relationships/footer" Target="footer1.xml"/><Relationship Id="rId21" Type="http://schemas.openxmlformats.org/officeDocument/2006/relationships/hyperlink" Target="javascript:detailzmeny(79029);" TargetMode="External"/><Relationship Id="rId34" Type="http://schemas.openxmlformats.org/officeDocument/2006/relationships/hyperlink" Target="http://www.technicke-normy-csn.cz/technicke-normy/stavebni-suroviny%2C-materialy-a-vyrobky-72/zkusebni-metody-hornin-a-zemin-7211/(721151)-CSN-72-1151-30775.htm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javascript:detailzmeny(75321);" TargetMode="External"/><Relationship Id="rId20" Type="http://schemas.openxmlformats.org/officeDocument/2006/relationships/hyperlink" Target="javascript:detail(74826);" TargetMode="External"/><Relationship Id="rId29" Type="http://schemas.openxmlformats.org/officeDocument/2006/relationships/hyperlink" Target="http://www.technicke-normy-csn.cz/technicke-normy/stavebni-suroviny%2C-materialy-a-vyrobky-72/zkusebni-metody-hornin-a-zemin-7211/(721175)-CSN-EN-1097-1-26530.htm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detail(84363);" TargetMode="External"/><Relationship Id="rId24" Type="http://schemas.openxmlformats.org/officeDocument/2006/relationships/hyperlink" Target="javascript:detailzmeny(85371);" TargetMode="External"/><Relationship Id="rId32" Type="http://schemas.openxmlformats.org/officeDocument/2006/relationships/hyperlink" Target="http://www.technicke-normy-csn.cz/technicke-normy/stavebni-suroviny%2C-materialy-a-vyrobky-72/nerosty-nerudne%2C-kameniva%2C-zeminy%2C-tuha-7215/(721507)-CSN-EN-13383-1-67526.html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javascript:detail(61679);" TargetMode="External"/><Relationship Id="rId23" Type="http://schemas.openxmlformats.org/officeDocument/2006/relationships/hyperlink" Target="javascript:detailzmeny(88261);" TargetMode="External"/><Relationship Id="rId28" Type="http://schemas.openxmlformats.org/officeDocument/2006/relationships/hyperlink" Target="http://www.technicke-normy-csn.cz/technicke-normy/stavebni-suroviny%2C-materialy-a-vyrobky-72/malty%2C-maltove-smesi%2C-potery-7224/(722401)-CSN-EN-998-2-68526.html" TargetMode="External"/><Relationship Id="rId36" Type="http://schemas.openxmlformats.org/officeDocument/2006/relationships/hyperlink" Target="http://www.technicke-normy-csn.cz/technicke-normy/stavebni-suroviny%2C-materialy-a-vyrobky-72/lomarske-a-kamenicke-vyrobky-%28z-prirodniho-kamene%29-pro-stavebnictvi-7218/(721860)-CSN-72-1860-5403.html" TargetMode="External"/><Relationship Id="rId10" Type="http://schemas.openxmlformats.org/officeDocument/2006/relationships/hyperlink" Target="javascript:detail(84362);" TargetMode="External"/><Relationship Id="rId19" Type="http://schemas.openxmlformats.org/officeDocument/2006/relationships/hyperlink" Target="javascript:detailzmeny(89366);" TargetMode="External"/><Relationship Id="rId31" Type="http://schemas.openxmlformats.org/officeDocument/2006/relationships/hyperlink" Target="http://www.technicke-normy-csn.cz/technicke-normy/navrhovani-a-provadeni-staveb-73/zdene-konstrukce%2C-navrhovani-7311/(731101)-CSN-EN-1996-2-77706.html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detail(89994);" TargetMode="External"/><Relationship Id="rId14" Type="http://schemas.openxmlformats.org/officeDocument/2006/relationships/hyperlink" Target="javascript:detail(61166);" TargetMode="External"/><Relationship Id="rId22" Type="http://schemas.openxmlformats.org/officeDocument/2006/relationships/hyperlink" Target="javascript:detailzmeny(82662);" TargetMode="External"/><Relationship Id="rId27" Type="http://schemas.openxmlformats.org/officeDocument/2006/relationships/hyperlink" Target="http://www.technicke-normy-csn.cz/technicke-normy/stavebni-suroviny%2C-materialy-a-vyrobky-72/cihlarske-palene-vyrobky-7226/(722634)-CSN-EN-771-6-75065.html" TargetMode="External"/><Relationship Id="rId30" Type="http://schemas.openxmlformats.org/officeDocument/2006/relationships/hyperlink" Target="http://www.technicke-normy-csn.cz/technicke-normy/stavebni-suroviny%2C-materialy-a-vyrobky-72/zkusebni-metody-hornin-a-zemin-7211/(721142)-CSN-EN-1926-79068.html" TargetMode="External"/><Relationship Id="rId35" Type="http://schemas.openxmlformats.org/officeDocument/2006/relationships/hyperlink" Target="http://www.technicke-normy-csn.cz/technicke-normy/stavebni-suroviny%2C-materialy-a-vyrobky-72/lomarske-a-kamenicke-vyrobky-%28z-prirodniho-kamene%29-pro-stavebnictvi-7218/(721800)-CSN-72-1800-30833.html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javascript:detail(84366);" TargetMode="External"/><Relationship Id="rId17" Type="http://schemas.openxmlformats.org/officeDocument/2006/relationships/hyperlink" Target="javascript:detail(84333);" TargetMode="External"/><Relationship Id="rId25" Type="http://schemas.openxmlformats.org/officeDocument/2006/relationships/hyperlink" Target="javascript:detailzmeny(78274);" TargetMode="External"/><Relationship Id="rId33" Type="http://schemas.openxmlformats.org/officeDocument/2006/relationships/hyperlink" Target="http://www.technicke-normy-csn.cz/technicke-normy/stavebni-suroviny%2C-materialy-a-vyrobky-72/nerosty-nerudne%2C-kameniva%2C-zeminy%2C-tuha-7215/(721507)-CSN-EN-13383-1-67526.html" TargetMode="External"/><Relationship Id="rId3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57725-6A7C-46CF-8FEF-3D3B2C45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4431</Words>
  <Characters>26147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pro písemnosti TBD</vt:lpstr>
    </vt:vector>
  </TitlesOfParts>
  <Company>VD-TBD a. s.</Company>
  <LinksUpToDate>false</LinksUpToDate>
  <CharactersWithSpaces>30517</CharactersWithSpaces>
  <SharedDoc>false</SharedDoc>
  <HLinks>
    <vt:vector size="174" baseType="variant">
      <vt:variant>
        <vt:i4>6094865</vt:i4>
      </vt:variant>
      <vt:variant>
        <vt:i4>144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http://www.technicke-normy-csn.cz/technicke-normy/stavebni-suroviny%2C-materialy-a-vyrobky-72/lomarske-a-kamenicke-vyrobky-%28z-prirodniho-kamene%29-pro-stavebnictvi-7218/(721860)-CSN-72-1860-5403.html</vt:lpwstr>
      </vt:variant>
      <vt:variant>
        <vt:lpwstr/>
      </vt:variant>
      <vt:variant>
        <vt:i4>7078005</vt:i4>
      </vt:variant>
      <vt:variant>
        <vt:i4>141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http://www.technicke-normy-csn.cz/technicke-normy/stavebni-suroviny%2C-materialy-a-vyrobky-72/lomarske-a-kamenicke-vyrobky-%28z-prirodniho-kamene%29-pro-stavebnictvi-7218/(721800)-CSN-72-1800-30833.html</vt:lpwstr>
      </vt:variant>
      <vt:variant>
        <vt:lpwstr/>
      </vt:variant>
      <vt:variant>
        <vt:i4>1572870</vt:i4>
      </vt:variant>
      <vt:variant>
        <vt:i4>138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http://www.technicke-normy-csn.cz/technicke-normy/stavebni-suroviny%2C-materialy-a-vyrobky-72/zkusebni-metody-hornin-a-zemin-7211/(721151)-CSN-72-1151-30775.html</vt:lpwstr>
      </vt:variant>
      <vt:variant>
        <vt:lpwstr/>
      </vt:variant>
      <vt:variant>
        <vt:i4>3342460</vt:i4>
      </vt:variant>
      <vt:variant>
        <vt:i4>135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http://www.technicke-normy-csn.cz/technicke-normy/stavebni-suroviny%2C-materialy-a-vyrobky-72/nerosty-nerudne%2C-kameniva%2C-zeminy%2C-tuha-7215/(721507)-CSN-EN-13383-1-67526.html</vt:lpwstr>
      </vt:variant>
      <vt:variant>
        <vt:lpwstr/>
      </vt:variant>
      <vt:variant>
        <vt:i4>3342460</vt:i4>
      </vt:variant>
      <vt:variant>
        <vt:i4>132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http://www.technicke-normy-csn.cz/technicke-normy/stavebni-suroviny%2C-materialy-a-vyrobky-72/nerosty-nerudne%2C-kameniva%2C-zeminy%2C-tuha-7215/(721507)-CSN-EN-13383-1-67526.html</vt:lpwstr>
      </vt:variant>
      <vt:variant>
        <vt:lpwstr/>
      </vt:variant>
      <vt:variant>
        <vt:i4>5373954</vt:i4>
      </vt:variant>
      <vt:variant>
        <vt:i4>129</vt:i4>
      </vt:variant>
      <vt:variant>
        <vt:i4>0</vt:i4>
      </vt:variant>
      <vt:variant>
        <vt:i4>5</vt:i4>
      </vt:variant>
      <vt:variant>
        <vt:lpwstr>http://www.technicke-normy-csn.cz/technicke-normy/navrhovani-a-provadeni-staveb-73/zdene-konstrukce%2C-navrhovani-7311/(731101)-CSN-EN-1996-2-77706.html</vt:lpwstr>
      </vt:variant>
      <vt:variant>
        <vt:lpwstr/>
      </vt:variant>
      <vt:variant>
        <vt:i4>4849750</vt:i4>
      </vt:variant>
      <vt:variant>
        <vt:i4>126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http://www.technicke-normy-csn.cz/technicke-normy/stavebni-suroviny%2C-materialy-a-vyrobky-72/zkusebni-metody-hornin-a-zemin-7211/(721142)-CSN-EN-1926-79068.html</vt:lpwstr>
      </vt:variant>
      <vt:variant>
        <vt:lpwstr/>
      </vt:variant>
      <vt:variant>
        <vt:i4>7864445</vt:i4>
      </vt:variant>
      <vt:variant>
        <vt:i4>123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http://www.technicke-normy-csn.cz/technicke-normy/stavebni-suroviny%2C-materialy-a-vyrobky-72/zkusebni-metody-hornin-a-zemin-7211/(721175)-CSN-EN-1097-1-26530.html</vt:lpwstr>
      </vt:variant>
      <vt:variant>
        <vt:lpwstr/>
      </vt:variant>
      <vt:variant>
        <vt:i4>65551</vt:i4>
      </vt:variant>
      <vt:variant>
        <vt:i4>120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http://www.technicke-normy-csn.cz/technicke-normy/stavebni-suroviny%2C-materialy-a-vyrobky-72/malty%2C-maltove-smesi%2C-potery-7224/(722401)-CSN-EN-998-2-68526.html</vt:lpwstr>
      </vt:variant>
      <vt:variant>
        <vt:lpwstr/>
      </vt:variant>
      <vt:variant>
        <vt:i4>65623</vt:i4>
      </vt:variant>
      <vt:variant>
        <vt:i4>117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http://www.technicke-normy-csn.cz/technicke-normy/stavebni-suroviny%2C-materialy-a-vyrobky-72/cihlarske-palene-vyrobky-7226/(722634)-CSN-EN-771-6-75065.html</vt:lpwstr>
      </vt:variant>
      <vt:variant>
        <vt:lpwstr/>
      </vt:variant>
      <vt:variant>
        <vt:i4>6422586</vt:i4>
      </vt:variant>
      <vt:variant>
        <vt:i4>114</vt:i4>
      </vt:variant>
      <vt:variant>
        <vt:i4>0</vt:i4>
      </vt:variant>
      <vt:variant>
        <vt:i4>5</vt:i4>
      </vt:variant>
      <vt:variant>
        <vt:lpwstr>javascript:detailzmeny(84131);</vt:lpwstr>
      </vt:variant>
      <vt:variant>
        <vt:lpwstr/>
      </vt:variant>
      <vt:variant>
        <vt:i4>7012402</vt:i4>
      </vt:variant>
      <vt:variant>
        <vt:i4>111</vt:i4>
      </vt:variant>
      <vt:variant>
        <vt:i4>0</vt:i4>
      </vt:variant>
      <vt:variant>
        <vt:i4>5</vt:i4>
      </vt:variant>
      <vt:variant>
        <vt:lpwstr>javascript:detailzmeny(78274);</vt:lpwstr>
      </vt:variant>
      <vt:variant>
        <vt:lpwstr/>
      </vt:variant>
      <vt:variant>
        <vt:i4>6291519</vt:i4>
      </vt:variant>
      <vt:variant>
        <vt:i4>108</vt:i4>
      </vt:variant>
      <vt:variant>
        <vt:i4>0</vt:i4>
      </vt:variant>
      <vt:variant>
        <vt:i4>5</vt:i4>
      </vt:variant>
      <vt:variant>
        <vt:lpwstr>javascript:detailzmeny(85371);</vt:lpwstr>
      </vt:variant>
      <vt:variant>
        <vt:lpwstr/>
      </vt:variant>
      <vt:variant>
        <vt:i4>6357043</vt:i4>
      </vt:variant>
      <vt:variant>
        <vt:i4>105</vt:i4>
      </vt:variant>
      <vt:variant>
        <vt:i4>0</vt:i4>
      </vt:variant>
      <vt:variant>
        <vt:i4>5</vt:i4>
      </vt:variant>
      <vt:variant>
        <vt:lpwstr>javascript:detailzmeny(88261);</vt:lpwstr>
      </vt:variant>
      <vt:variant>
        <vt:lpwstr/>
      </vt:variant>
      <vt:variant>
        <vt:i4>6684729</vt:i4>
      </vt:variant>
      <vt:variant>
        <vt:i4>102</vt:i4>
      </vt:variant>
      <vt:variant>
        <vt:i4>0</vt:i4>
      </vt:variant>
      <vt:variant>
        <vt:i4>5</vt:i4>
      </vt:variant>
      <vt:variant>
        <vt:lpwstr>javascript:detailzmeny(82662);</vt:lpwstr>
      </vt:variant>
      <vt:variant>
        <vt:lpwstr/>
      </vt:variant>
      <vt:variant>
        <vt:i4>6553654</vt:i4>
      </vt:variant>
      <vt:variant>
        <vt:i4>99</vt:i4>
      </vt:variant>
      <vt:variant>
        <vt:i4>0</vt:i4>
      </vt:variant>
      <vt:variant>
        <vt:i4>5</vt:i4>
      </vt:variant>
      <vt:variant>
        <vt:lpwstr>javascript:detailzmeny(79029);</vt:lpwstr>
      </vt:variant>
      <vt:variant>
        <vt:lpwstr/>
      </vt:variant>
      <vt:variant>
        <vt:i4>6</vt:i4>
      </vt:variant>
      <vt:variant>
        <vt:i4>96</vt:i4>
      </vt:variant>
      <vt:variant>
        <vt:i4>0</vt:i4>
      </vt:variant>
      <vt:variant>
        <vt:i4>5</vt:i4>
      </vt:variant>
      <vt:variant>
        <vt:lpwstr>javascript:detail(74826);</vt:lpwstr>
      </vt:variant>
      <vt:variant>
        <vt:lpwstr/>
      </vt:variant>
      <vt:variant>
        <vt:i4>65538</vt:i4>
      </vt:variant>
      <vt:variant>
        <vt:i4>93</vt:i4>
      </vt:variant>
      <vt:variant>
        <vt:i4>0</vt:i4>
      </vt:variant>
      <vt:variant>
        <vt:i4>5</vt:i4>
      </vt:variant>
      <vt:variant>
        <vt:lpwstr>javascript:detail(84336);</vt:lpwstr>
      </vt:variant>
      <vt:variant>
        <vt:lpwstr/>
      </vt:variant>
      <vt:variant>
        <vt:i4>6750258</vt:i4>
      </vt:variant>
      <vt:variant>
        <vt:i4>90</vt:i4>
      </vt:variant>
      <vt:variant>
        <vt:i4>0</vt:i4>
      </vt:variant>
      <vt:variant>
        <vt:i4>5</vt:i4>
      </vt:variant>
      <vt:variant>
        <vt:lpwstr>javascript:detailzmeny(89366);</vt:lpwstr>
      </vt:variant>
      <vt:variant>
        <vt:lpwstr/>
      </vt:variant>
      <vt:variant>
        <vt:i4>65536</vt:i4>
      </vt:variant>
      <vt:variant>
        <vt:i4>87</vt:i4>
      </vt:variant>
      <vt:variant>
        <vt:i4>0</vt:i4>
      </vt:variant>
      <vt:variant>
        <vt:i4>5</vt:i4>
      </vt:variant>
      <vt:variant>
        <vt:lpwstr>javascript:detail(84334);</vt:lpwstr>
      </vt:variant>
      <vt:variant>
        <vt:lpwstr/>
      </vt:variant>
      <vt:variant>
        <vt:i4>65543</vt:i4>
      </vt:variant>
      <vt:variant>
        <vt:i4>84</vt:i4>
      </vt:variant>
      <vt:variant>
        <vt:i4>0</vt:i4>
      </vt:variant>
      <vt:variant>
        <vt:i4>5</vt:i4>
      </vt:variant>
      <vt:variant>
        <vt:lpwstr>javascript:detail(84333);</vt:lpwstr>
      </vt:variant>
      <vt:variant>
        <vt:lpwstr/>
      </vt:variant>
      <vt:variant>
        <vt:i4>7274554</vt:i4>
      </vt:variant>
      <vt:variant>
        <vt:i4>81</vt:i4>
      </vt:variant>
      <vt:variant>
        <vt:i4>0</vt:i4>
      </vt:variant>
      <vt:variant>
        <vt:i4>5</vt:i4>
      </vt:variant>
      <vt:variant>
        <vt:lpwstr>javascript:detailzmeny(75321);</vt:lpwstr>
      </vt:variant>
      <vt:variant>
        <vt:lpwstr/>
      </vt:variant>
      <vt:variant>
        <vt:i4>6</vt:i4>
      </vt:variant>
      <vt:variant>
        <vt:i4>78</vt:i4>
      </vt:variant>
      <vt:variant>
        <vt:i4>0</vt:i4>
      </vt:variant>
      <vt:variant>
        <vt:i4>5</vt:i4>
      </vt:variant>
      <vt:variant>
        <vt:lpwstr>javascript:detail(61679);</vt:lpwstr>
      </vt:variant>
      <vt:variant>
        <vt:lpwstr/>
      </vt:variant>
      <vt:variant>
        <vt:i4>65550</vt:i4>
      </vt:variant>
      <vt:variant>
        <vt:i4>75</vt:i4>
      </vt:variant>
      <vt:variant>
        <vt:i4>0</vt:i4>
      </vt:variant>
      <vt:variant>
        <vt:i4>5</vt:i4>
      </vt:variant>
      <vt:variant>
        <vt:lpwstr>javascript:detail(61166);</vt:lpwstr>
      </vt:variant>
      <vt:variant>
        <vt:lpwstr/>
      </vt:variant>
      <vt:variant>
        <vt:i4>262147</vt:i4>
      </vt:variant>
      <vt:variant>
        <vt:i4>72</vt:i4>
      </vt:variant>
      <vt:variant>
        <vt:i4>0</vt:i4>
      </vt:variant>
      <vt:variant>
        <vt:i4>5</vt:i4>
      </vt:variant>
      <vt:variant>
        <vt:lpwstr>javascript:detail(84367);</vt:lpwstr>
      </vt:variant>
      <vt:variant>
        <vt:lpwstr/>
      </vt:variant>
      <vt:variant>
        <vt:i4>262146</vt:i4>
      </vt:variant>
      <vt:variant>
        <vt:i4>69</vt:i4>
      </vt:variant>
      <vt:variant>
        <vt:i4>0</vt:i4>
      </vt:variant>
      <vt:variant>
        <vt:i4>5</vt:i4>
      </vt:variant>
      <vt:variant>
        <vt:lpwstr>javascript:detail(84366);</vt:lpwstr>
      </vt:variant>
      <vt:variant>
        <vt:lpwstr/>
      </vt:variant>
      <vt:variant>
        <vt:i4>262151</vt:i4>
      </vt:variant>
      <vt:variant>
        <vt:i4>66</vt:i4>
      </vt:variant>
      <vt:variant>
        <vt:i4>0</vt:i4>
      </vt:variant>
      <vt:variant>
        <vt:i4>5</vt:i4>
      </vt:variant>
      <vt:variant>
        <vt:lpwstr>javascript:detail(84363);</vt:lpwstr>
      </vt:variant>
      <vt:variant>
        <vt:lpwstr/>
      </vt:variant>
      <vt:variant>
        <vt:i4>262150</vt:i4>
      </vt:variant>
      <vt:variant>
        <vt:i4>63</vt:i4>
      </vt:variant>
      <vt:variant>
        <vt:i4>0</vt:i4>
      </vt:variant>
      <vt:variant>
        <vt:i4>5</vt:i4>
      </vt:variant>
      <vt:variant>
        <vt:lpwstr>javascript:detail(84362);</vt:lpwstr>
      </vt:variant>
      <vt:variant>
        <vt:lpwstr/>
      </vt:variant>
      <vt:variant>
        <vt:i4>393226</vt:i4>
      </vt:variant>
      <vt:variant>
        <vt:i4>60</vt:i4>
      </vt:variant>
      <vt:variant>
        <vt:i4>0</vt:i4>
      </vt:variant>
      <vt:variant>
        <vt:i4>5</vt:i4>
      </vt:variant>
      <vt:variant>
        <vt:lpwstr>javascript:detail(89994);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pro písemnosti TBD</dc:title>
  <dc:subject>EZ, SEZ, posudky a studie</dc:subject>
  <dc:creator>Ing. Jan Chroumal</dc:creator>
  <cp:lastModifiedBy>Klemša Tomáš</cp:lastModifiedBy>
  <cp:revision>22</cp:revision>
  <cp:lastPrinted>2019-05-31T14:33:00Z</cp:lastPrinted>
  <dcterms:created xsi:type="dcterms:W3CDTF">2019-03-19T09:34:00Z</dcterms:created>
  <dcterms:modified xsi:type="dcterms:W3CDTF">2019-05-31T14:34:00Z</dcterms:modified>
</cp:coreProperties>
</file>